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FA8D03">
      <w:pPr>
        <w:bidi w:val="0"/>
        <w:outlineLvl w:val="9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附件2</w:t>
      </w:r>
    </w:p>
    <w:p w14:paraId="0A648E89">
      <w:pPr>
        <w:keepNext w:val="0"/>
        <w:keepLines w:val="0"/>
        <w:pageBreakBefore w:val="0"/>
        <w:widowControl/>
        <w:tabs>
          <w:tab w:val="left" w:pos="3611"/>
          <w:tab w:val="left" w:pos="4791"/>
          <w:tab w:val="left" w:pos="5951"/>
          <w:tab w:val="left" w:pos="7071"/>
          <w:tab w:val="left" w:pos="8191"/>
          <w:tab w:val="left" w:pos="931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91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val="en-US" w:eastAsia="zh-CN"/>
        </w:rPr>
        <w:t>部门整体支出绩效评价基础数据表</w:t>
      </w:r>
    </w:p>
    <w:p w14:paraId="44E4B2C8">
      <w:pPr>
        <w:widowControl/>
        <w:tabs>
          <w:tab w:val="left" w:pos="3611"/>
          <w:tab w:val="left" w:pos="4791"/>
          <w:tab w:val="left" w:pos="5951"/>
          <w:tab w:val="left" w:pos="7071"/>
          <w:tab w:val="left" w:pos="8191"/>
          <w:tab w:val="left" w:pos="9311"/>
        </w:tabs>
        <w:ind w:left="91"/>
        <w:jc w:val="left"/>
        <w:rPr>
          <w:rFonts w:hint="eastAsia" w:eastAsia="仿宋_GB2312"/>
          <w:kern w:val="0"/>
          <w:sz w:val="24"/>
          <w:lang w:val="en-US" w:eastAsia="zh-CN"/>
        </w:rPr>
      </w:pPr>
      <w:r>
        <w:rPr>
          <w:rFonts w:hint="eastAsia" w:eastAsia="仿宋_GB2312"/>
          <w:kern w:val="0"/>
          <w:sz w:val="24"/>
          <w:lang w:val="en-US" w:eastAsia="zh-CN"/>
        </w:rPr>
        <w:t xml:space="preserve">填报单位：岳阳市云溪区环卫绿化服务所                                   </w:t>
      </w:r>
    </w:p>
    <w:tbl>
      <w:tblPr>
        <w:tblStyle w:val="7"/>
        <w:tblW w:w="5425" w:type="pct"/>
        <w:tblInd w:w="-34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26"/>
        <w:gridCol w:w="792"/>
        <w:gridCol w:w="1222"/>
        <w:gridCol w:w="925"/>
        <w:gridCol w:w="1325"/>
        <w:gridCol w:w="976"/>
        <w:gridCol w:w="1241"/>
      </w:tblGrid>
      <w:tr w14:paraId="51D007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661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B792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财政供养人员情况</w:t>
            </w:r>
          </w:p>
        </w:tc>
        <w:tc>
          <w:tcPr>
            <w:tcW w:w="1037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38B7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编制数</w:t>
            </w:r>
          </w:p>
        </w:tc>
        <w:tc>
          <w:tcPr>
            <w:tcW w:w="1158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75EB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2024年实际在职人数</w:t>
            </w:r>
          </w:p>
        </w:tc>
        <w:tc>
          <w:tcPr>
            <w:tcW w:w="1141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9350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控制率</w:t>
            </w:r>
          </w:p>
        </w:tc>
      </w:tr>
      <w:tr w14:paraId="33D6BA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1661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BC2777D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7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0C4A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1158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D126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1141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239A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107.41%</w:t>
            </w:r>
          </w:p>
        </w:tc>
      </w:tr>
      <w:tr w14:paraId="48D9F6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166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D6A5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经费控制情况(万元)</w:t>
            </w:r>
          </w:p>
        </w:tc>
        <w:tc>
          <w:tcPr>
            <w:tcW w:w="1037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30B4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2022年决算数</w:t>
            </w:r>
          </w:p>
        </w:tc>
        <w:tc>
          <w:tcPr>
            <w:tcW w:w="1158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2949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2024年预算数</w:t>
            </w:r>
          </w:p>
        </w:tc>
        <w:tc>
          <w:tcPr>
            <w:tcW w:w="1141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24D5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2024年决算数</w:t>
            </w:r>
          </w:p>
        </w:tc>
      </w:tr>
      <w:tr w14:paraId="42A65A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66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E1B9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三公经费</w:t>
            </w:r>
          </w:p>
        </w:tc>
        <w:tc>
          <w:tcPr>
            <w:tcW w:w="1037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8FC9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0.06</w:t>
            </w:r>
          </w:p>
        </w:tc>
        <w:tc>
          <w:tcPr>
            <w:tcW w:w="1158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FD7A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1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588F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D51B7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66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F05A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1、公务用车购置和维护经费</w:t>
            </w:r>
          </w:p>
        </w:tc>
        <w:tc>
          <w:tcPr>
            <w:tcW w:w="1037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C5D5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C7AA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1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5FC1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6618A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66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9299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其中：公车购置</w:t>
            </w:r>
          </w:p>
        </w:tc>
        <w:tc>
          <w:tcPr>
            <w:tcW w:w="1037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389489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60DC6C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1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4681EE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FEBE5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66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200E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公车运行维护</w:t>
            </w:r>
          </w:p>
        </w:tc>
        <w:tc>
          <w:tcPr>
            <w:tcW w:w="1037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56C08D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B55D6A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1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C75D05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D7A2A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66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895D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2、出国经费</w:t>
            </w:r>
          </w:p>
        </w:tc>
        <w:tc>
          <w:tcPr>
            <w:tcW w:w="1037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FF1AC4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59580F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1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CB2AE4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F8369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66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FD64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3、公务接待</w:t>
            </w:r>
          </w:p>
        </w:tc>
        <w:tc>
          <w:tcPr>
            <w:tcW w:w="1037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C2EC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0.06</w:t>
            </w:r>
          </w:p>
        </w:tc>
        <w:tc>
          <w:tcPr>
            <w:tcW w:w="1158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C11A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1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99B2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36B9B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66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8EB3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项目支出：</w:t>
            </w:r>
          </w:p>
        </w:tc>
        <w:tc>
          <w:tcPr>
            <w:tcW w:w="1037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7A54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F4B8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3197.36</w:t>
            </w:r>
          </w:p>
        </w:tc>
        <w:tc>
          <w:tcPr>
            <w:tcW w:w="1141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9AE4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3197.36</w:t>
            </w:r>
          </w:p>
        </w:tc>
      </w:tr>
      <w:tr w14:paraId="700AFC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66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0FB3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1、业务工作经费</w:t>
            </w:r>
          </w:p>
        </w:tc>
        <w:tc>
          <w:tcPr>
            <w:tcW w:w="1037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2ECCDA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033389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1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4163A4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2B1E8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66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5DF3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2、运行维护经费</w:t>
            </w:r>
          </w:p>
        </w:tc>
        <w:tc>
          <w:tcPr>
            <w:tcW w:w="1037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5EB399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CD34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1982.36</w:t>
            </w:r>
          </w:p>
        </w:tc>
        <w:tc>
          <w:tcPr>
            <w:tcW w:w="1141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1048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1982.36</w:t>
            </w:r>
          </w:p>
        </w:tc>
      </w:tr>
      <w:tr w14:paraId="145FF0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66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8AB29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3、本级专项资金（一个专项一行）</w:t>
            </w:r>
          </w:p>
        </w:tc>
        <w:tc>
          <w:tcPr>
            <w:tcW w:w="1037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878F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158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A424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1215</w:t>
            </w:r>
          </w:p>
        </w:tc>
        <w:tc>
          <w:tcPr>
            <w:tcW w:w="1141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BEDB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/>
              </w:rPr>
              <w:t>1215</w:t>
            </w:r>
          </w:p>
        </w:tc>
      </w:tr>
      <w:tr w14:paraId="20A397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66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299A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保洁</w:t>
            </w:r>
          </w:p>
        </w:tc>
        <w:tc>
          <w:tcPr>
            <w:tcW w:w="1037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029632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2CCA23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358</w:t>
            </w:r>
          </w:p>
        </w:tc>
        <w:tc>
          <w:tcPr>
            <w:tcW w:w="1141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99226F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358</w:t>
            </w:r>
          </w:p>
        </w:tc>
      </w:tr>
      <w:tr w14:paraId="6F71FF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66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C670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环卫车运行经费</w:t>
            </w:r>
          </w:p>
        </w:tc>
        <w:tc>
          <w:tcPr>
            <w:tcW w:w="1037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67D88F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D30561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195</w:t>
            </w:r>
          </w:p>
        </w:tc>
        <w:tc>
          <w:tcPr>
            <w:tcW w:w="1141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7E47D6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195</w:t>
            </w:r>
          </w:p>
        </w:tc>
      </w:tr>
      <w:tr w14:paraId="5B7D3E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66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0C6F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两厂片区环卫绿化外包及管理费</w:t>
            </w:r>
          </w:p>
        </w:tc>
        <w:tc>
          <w:tcPr>
            <w:tcW w:w="1037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467055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EF5A0C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662</w:t>
            </w:r>
          </w:p>
        </w:tc>
        <w:tc>
          <w:tcPr>
            <w:tcW w:w="1141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D80F9F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662</w:t>
            </w:r>
          </w:p>
        </w:tc>
      </w:tr>
      <w:tr w14:paraId="0856B7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66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444B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公用经费：</w:t>
            </w:r>
          </w:p>
        </w:tc>
        <w:tc>
          <w:tcPr>
            <w:tcW w:w="1037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A2DD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43.71</w:t>
            </w:r>
          </w:p>
        </w:tc>
        <w:tc>
          <w:tcPr>
            <w:tcW w:w="1158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573D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31.77</w:t>
            </w:r>
          </w:p>
        </w:tc>
        <w:tc>
          <w:tcPr>
            <w:tcW w:w="1141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4325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34.72</w:t>
            </w:r>
          </w:p>
        </w:tc>
      </w:tr>
      <w:tr w14:paraId="34332D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66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065E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其中：办公经费</w:t>
            </w:r>
          </w:p>
        </w:tc>
        <w:tc>
          <w:tcPr>
            <w:tcW w:w="1037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EC62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2.58</w:t>
            </w:r>
          </w:p>
        </w:tc>
        <w:tc>
          <w:tcPr>
            <w:tcW w:w="1158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9892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2.00</w:t>
            </w:r>
          </w:p>
        </w:tc>
        <w:tc>
          <w:tcPr>
            <w:tcW w:w="1141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2BC4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2.90</w:t>
            </w:r>
          </w:p>
        </w:tc>
      </w:tr>
      <w:tr w14:paraId="091EAF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66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4BF1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水费、电费、差旅费</w:t>
            </w:r>
          </w:p>
        </w:tc>
        <w:tc>
          <w:tcPr>
            <w:tcW w:w="1037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4359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3.10</w:t>
            </w:r>
          </w:p>
        </w:tc>
        <w:tc>
          <w:tcPr>
            <w:tcW w:w="1158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77CD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4.00</w:t>
            </w:r>
          </w:p>
        </w:tc>
        <w:tc>
          <w:tcPr>
            <w:tcW w:w="1141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E099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3.10</w:t>
            </w:r>
          </w:p>
        </w:tc>
      </w:tr>
      <w:tr w14:paraId="17AF02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66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5E4D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会议费、培训费</w:t>
            </w:r>
          </w:p>
        </w:tc>
        <w:tc>
          <w:tcPr>
            <w:tcW w:w="1037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6673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0.65</w:t>
            </w:r>
          </w:p>
        </w:tc>
        <w:tc>
          <w:tcPr>
            <w:tcW w:w="1158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1848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1.69</w:t>
            </w:r>
          </w:p>
        </w:tc>
        <w:tc>
          <w:tcPr>
            <w:tcW w:w="1141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FA71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0.06</w:t>
            </w:r>
          </w:p>
        </w:tc>
      </w:tr>
      <w:tr w14:paraId="70D53A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66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BBE0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政府采购金额</w:t>
            </w:r>
          </w:p>
        </w:tc>
        <w:tc>
          <w:tcPr>
            <w:tcW w:w="1037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096DD6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DA8480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1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BAC8DC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CF860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66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A3EC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部门基本支出预算调整 </w:t>
            </w:r>
          </w:p>
        </w:tc>
        <w:tc>
          <w:tcPr>
            <w:tcW w:w="1037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3CAE1C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E2E88F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1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9784D8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2FC31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</w:trPr>
        <w:tc>
          <w:tcPr>
            <w:tcW w:w="1661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2612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楼堂馆所控制情况 </w:t>
            </w:r>
          </w:p>
          <w:p w14:paraId="42D0B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（2024年完工项目）</w:t>
            </w:r>
          </w:p>
        </w:tc>
        <w:tc>
          <w:tcPr>
            <w:tcW w:w="40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ECB3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批复规模 </w:t>
            </w:r>
          </w:p>
          <w:p w14:paraId="1F503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（㎡）</w:t>
            </w:r>
          </w:p>
        </w:tc>
        <w:tc>
          <w:tcPr>
            <w:tcW w:w="62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FCB0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实际规模</w:t>
            </w:r>
          </w:p>
          <w:p w14:paraId="6CAF5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（㎡）</w:t>
            </w:r>
          </w:p>
        </w:tc>
        <w:tc>
          <w:tcPr>
            <w:tcW w:w="47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8FB5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规模控制率</w:t>
            </w:r>
          </w:p>
        </w:tc>
        <w:tc>
          <w:tcPr>
            <w:tcW w:w="68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118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预算投资</w:t>
            </w:r>
          </w:p>
          <w:p w14:paraId="41026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50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ABF9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实际投资</w:t>
            </w:r>
          </w:p>
          <w:p w14:paraId="4576C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63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9B10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投资概算控制率</w:t>
            </w:r>
          </w:p>
        </w:tc>
      </w:tr>
      <w:tr w14:paraId="0EDD3A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1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EB98B1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119C48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9E24DA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5056F5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24F0BE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103640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9700DC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EB400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8" w:hRule="atLeast"/>
        </w:trPr>
        <w:tc>
          <w:tcPr>
            <w:tcW w:w="166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24D5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厉行节约保障措施</w:t>
            </w:r>
          </w:p>
        </w:tc>
        <w:tc>
          <w:tcPr>
            <w:tcW w:w="3338" w:type="pct"/>
            <w:gridSpan w:val="6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BF9197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 w14:paraId="10B0E3D5">
      <w:pPr>
        <w:pStyle w:val="14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left="0" w:leftChars="0" w:firstLine="0" w:firstLineChars="0"/>
        <w:textAlignment w:val="auto"/>
        <w:outlineLvl w:val="9"/>
        <w:rPr>
          <w:rFonts w:eastAsia="仿宋_GB2312"/>
          <w:kern w:val="0"/>
          <w:sz w:val="22"/>
        </w:rPr>
      </w:pPr>
    </w:p>
    <w:p w14:paraId="234AAA61">
      <w:pPr>
        <w:pStyle w:val="14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left="0" w:leftChars="0" w:firstLine="0" w:firstLineChars="0"/>
        <w:textAlignment w:val="auto"/>
        <w:outlineLvl w:val="9"/>
        <w:rPr>
          <w:rFonts w:hint="eastAsia"/>
          <w:lang w:val="en-US" w:eastAsia="zh-CN"/>
        </w:rPr>
      </w:pPr>
      <w:r>
        <w:rPr>
          <w:rFonts w:eastAsia="仿宋_GB2312"/>
          <w:kern w:val="0"/>
          <w:sz w:val="22"/>
        </w:rPr>
        <w:t>说明：“项目支出”需要填报基本支出以外的所有项目支出情况，“公用经费”填报基本支出中的一般商品和服务支出。</w:t>
      </w:r>
    </w:p>
    <w:p w14:paraId="6A0D0B20">
      <w:pPr>
        <w:widowControl w:val="0"/>
        <w:kinsoku/>
        <w:autoSpaceDE/>
        <w:autoSpaceDN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仿宋_GB2312" w:cs="Times New Roman"/>
          <w:snapToGrid/>
          <w:color w:val="000000"/>
          <w:kern w:val="0"/>
          <w:sz w:val="24"/>
          <w:szCs w:val="24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snapToGrid/>
          <w:color w:val="000000"/>
          <w:kern w:val="0"/>
          <w:sz w:val="24"/>
          <w:szCs w:val="24"/>
          <w:lang w:val="en-US" w:eastAsia="zh-CN" w:bidi="ar-SA"/>
        </w:rPr>
        <w:t>填表人：</w:t>
      </w:r>
      <w:r>
        <w:rPr>
          <w:rFonts w:hint="eastAsia" w:ascii="Times New Roman" w:hAnsi="Times New Roman" w:eastAsia="仿宋_GB2312" w:cs="Times New Roman"/>
          <w:snapToGrid/>
          <w:color w:val="000000"/>
          <w:kern w:val="0"/>
          <w:sz w:val="24"/>
          <w:szCs w:val="24"/>
          <w:lang w:val="en-US" w:eastAsia="zh-CN" w:bidi="ar-SA"/>
        </w:rPr>
        <w:t xml:space="preserve">      </w:t>
      </w:r>
      <w:r>
        <w:rPr>
          <w:rFonts w:hint="default" w:ascii="Times New Roman" w:hAnsi="Times New Roman" w:eastAsia="仿宋_GB2312" w:cs="Times New Roman"/>
          <w:snapToGrid/>
          <w:color w:val="000000"/>
          <w:kern w:val="0"/>
          <w:sz w:val="24"/>
          <w:szCs w:val="24"/>
          <w:lang w:val="en-US" w:eastAsia="zh-CN" w:bidi="ar-SA"/>
        </w:rPr>
        <w:t xml:space="preserve">  填报日期：</w:t>
      </w:r>
      <w:r>
        <w:rPr>
          <w:rFonts w:hint="eastAsia" w:ascii="Times New Roman" w:hAnsi="Times New Roman" w:eastAsia="仿宋_GB2312" w:cs="Times New Roman"/>
          <w:snapToGrid/>
          <w:color w:val="000000"/>
          <w:kern w:val="0"/>
          <w:sz w:val="24"/>
          <w:szCs w:val="24"/>
          <w:lang w:val="en-US" w:eastAsia="zh-CN" w:bidi="ar-SA"/>
        </w:rPr>
        <w:t xml:space="preserve">        </w:t>
      </w:r>
      <w:r>
        <w:rPr>
          <w:rFonts w:hint="default" w:ascii="Times New Roman" w:hAnsi="Times New Roman" w:eastAsia="仿宋_GB2312" w:cs="Times New Roman"/>
          <w:snapToGrid/>
          <w:color w:val="000000"/>
          <w:kern w:val="0"/>
          <w:sz w:val="24"/>
          <w:szCs w:val="24"/>
          <w:lang w:val="en-US" w:eastAsia="zh-CN" w:bidi="ar-SA"/>
        </w:rPr>
        <w:t>联系电话：</w:t>
      </w:r>
      <w:r>
        <w:rPr>
          <w:rFonts w:hint="eastAsia" w:ascii="Times New Roman" w:hAnsi="Times New Roman" w:eastAsia="仿宋_GB2312" w:cs="Times New Roman"/>
          <w:snapToGrid/>
          <w:color w:val="000000"/>
          <w:kern w:val="0"/>
          <w:sz w:val="24"/>
          <w:szCs w:val="24"/>
          <w:lang w:val="en-US" w:eastAsia="zh-CN" w:bidi="ar-SA"/>
        </w:rPr>
        <w:t xml:space="preserve">       </w:t>
      </w:r>
      <w:r>
        <w:rPr>
          <w:rFonts w:hint="default" w:ascii="Times New Roman" w:hAnsi="Times New Roman" w:eastAsia="仿宋_GB2312" w:cs="Times New Roman"/>
          <w:snapToGrid/>
          <w:color w:val="000000"/>
          <w:kern w:val="0"/>
          <w:sz w:val="24"/>
          <w:szCs w:val="24"/>
          <w:lang w:val="en-US" w:eastAsia="zh-CN" w:bidi="ar-SA"/>
        </w:rPr>
        <w:t>单位负责人签字：</w:t>
      </w:r>
    </w:p>
    <w:p w14:paraId="61576877">
      <w:pPr>
        <w:keepNext w:val="0"/>
        <w:keepLines w:val="0"/>
        <w:pageBreakBefore w:val="0"/>
        <w:kinsoku/>
        <w:overflowPunct/>
        <w:topLinePunct w:val="0"/>
        <w:autoSpaceDE/>
        <w:bidi w:val="0"/>
        <w:spacing w:line="560" w:lineRule="exact"/>
        <w:rPr>
          <w:rFonts w:hint="eastAsia" w:ascii="黑体" w:hAnsi="黑体" w:eastAsia="黑体" w:cs="黑体"/>
          <w:bCs/>
          <w:sz w:val="32"/>
          <w:szCs w:val="32"/>
        </w:rPr>
        <w:sectPr>
          <w:footerReference r:id="rId3" w:type="default"/>
          <w:footerReference r:id="rId4" w:type="even"/>
          <w:pgSz w:w="11906" w:h="16838"/>
          <w:pgMar w:top="1588" w:right="1588" w:bottom="1588" w:left="1588" w:header="851" w:footer="992" w:gutter="0"/>
          <w:pgNumType w:start="1"/>
          <w:cols w:space="720" w:num="1"/>
          <w:titlePg/>
          <w:docGrid w:type="linesAndChars" w:linePitch="602" w:charSpace="-782"/>
        </w:sectPr>
      </w:pPr>
    </w:p>
    <w:p w14:paraId="1C0913A6">
      <w:pPr>
        <w:keepNext w:val="0"/>
        <w:keepLines w:val="0"/>
        <w:pageBreakBefore w:val="0"/>
        <w:kinsoku/>
        <w:overflowPunct/>
        <w:topLinePunct w:val="0"/>
        <w:autoSpaceDE/>
        <w:bidi w:val="0"/>
        <w:spacing w:line="560" w:lineRule="exact"/>
        <w:rPr>
          <w:rFonts w:hint="eastAsia"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</w:t>
      </w: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3-1</w:t>
      </w:r>
      <w:r>
        <w:rPr>
          <w:rFonts w:hint="eastAsia" w:ascii="黑体" w:hAnsi="黑体" w:eastAsia="黑体" w:cs="黑体"/>
          <w:bCs/>
          <w:sz w:val="32"/>
          <w:szCs w:val="32"/>
        </w:rPr>
        <w:t>：</w:t>
      </w:r>
    </w:p>
    <w:p w14:paraId="603566EC">
      <w:pPr>
        <w:keepNext w:val="0"/>
        <w:keepLines w:val="0"/>
        <w:pageBreakBefore w:val="0"/>
        <w:kinsoku/>
        <w:overflowPunct/>
        <w:topLinePunct w:val="0"/>
        <w:autoSpaceDE/>
        <w:bidi w:val="0"/>
        <w:spacing w:line="560" w:lineRule="exact"/>
        <w:rPr>
          <w:rFonts w:hint="eastAsia" w:ascii="黑体" w:hAnsi="黑体" w:eastAsia="黑体" w:cs="黑体"/>
          <w:bCs/>
          <w:sz w:val="32"/>
          <w:szCs w:val="32"/>
        </w:rPr>
      </w:pPr>
    </w:p>
    <w:p w14:paraId="7FBB4D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0"/>
        <w:rPr>
          <w:rFonts w:hint="eastAsia" w:ascii="宋体" w:hAnsi="宋体" w:eastAsia="宋体" w:cs="宋体"/>
          <w:b/>
          <w:bCs w:val="0"/>
          <w:sz w:val="46"/>
          <w:szCs w:val="46"/>
        </w:rPr>
      </w:pPr>
      <w:r>
        <w:rPr>
          <w:rFonts w:hint="eastAsia" w:ascii="宋体" w:hAnsi="宋体" w:eastAsia="宋体" w:cs="宋体"/>
          <w:b/>
          <w:bCs w:val="0"/>
          <w:sz w:val="46"/>
          <w:szCs w:val="46"/>
        </w:rPr>
        <w:t>岳阳市云溪区</w:t>
      </w:r>
      <w:r>
        <w:rPr>
          <w:rFonts w:hint="eastAsia" w:ascii="宋体" w:hAnsi="宋体" w:cs="宋体"/>
          <w:b/>
          <w:bCs w:val="0"/>
          <w:sz w:val="46"/>
          <w:szCs w:val="46"/>
          <w:u w:val="single"/>
          <w:lang w:eastAsia="zh-CN"/>
        </w:rPr>
        <w:t>2024</w:t>
      </w:r>
      <w:r>
        <w:rPr>
          <w:rFonts w:hint="eastAsia" w:ascii="宋体" w:hAnsi="宋体" w:eastAsia="宋体" w:cs="宋体"/>
          <w:b/>
          <w:bCs w:val="0"/>
          <w:sz w:val="46"/>
          <w:szCs w:val="46"/>
        </w:rPr>
        <w:t>年度部门整体支出</w:t>
      </w:r>
    </w:p>
    <w:p w14:paraId="43761C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宋体" w:hAnsi="宋体" w:eastAsia="宋体" w:cs="宋体"/>
          <w:b/>
          <w:bCs w:val="0"/>
          <w:sz w:val="46"/>
          <w:szCs w:val="46"/>
        </w:rPr>
      </w:pPr>
      <w:r>
        <w:rPr>
          <w:rFonts w:hint="eastAsia" w:ascii="宋体" w:hAnsi="宋体" w:eastAsia="宋体" w:cs="宋体"/>
          <w:b/>
          <w:bCs w:val="0"/>
          <w:sz w:val="46"/>
          <w:szCs w:val="46"/>
        </w:rPr>
        <w:t>绩效评价自评报告</w:t>
      </w:r>
    </w:p>
    <w:p w14:paraId="106FB6E1">
      <w:pPr>
        <w:keepNext w:val="0"/>
        <w:keepLines w:val="0"/>
        <w:pageBreakBefore w:val="0"/>
        <w:kinsoku/>
        <w:overflowPunct/>
        <w:topLinePunct w:val="0"/>
        <w:autoSpaceDE/>
        <w:bidi w:val="0"/>
        <w:spacing w:line="560" w:lineRule="exact"/>
        <w:rPr>
          <w:rFonts w:hint="eastAsia" w:eastAsia="仿宋_GB2312"/>
          <w:b/>
          <w:sz w:val="32"/>
        </w:rPr>
      </w:pPr>
    </w:p>
    <w:p w14:paraId="736309AF">
      <w:pPr>
        <w:keepNext w:val="0"/>
        <w:keepLines w:val="0"/>
        <w:pageBreakBefore w:val="0"/>
        <w:kinsoku/>
        <w:overflowPunct/>
        <w:topLinePunct w:val="0"/>
        <w:autoSpaceDE/>
        <w:bidi w:val="0"/>
        <w:spacing w:line="560" w:lineRule="exact"/>
        <w:rPr>
          <w:rFonts w:hint="eastAsia" w:eastAsia="仿宋_GB2312"/>
          <w:b/>
          <w:sz w:val="32"/>
          <w:lang w:val="en-US" w:eastAsia="zh-CN"/>
        </w:rPr>
      </w:pPr>
      <w:r>
        <w:rPr>
          <w:rFonts w:hint="eastAsia" w:eastAsia="仿宋_GB2312"/>
          <w:b/>
          <w:sz w:val="32"/>
          <w:lang w:val="en-US" w:eastAsia="zh-CN"/>
        </w:rPr>
        <w:t xml:space="preserve"> </w:t>
      </w:r>
    </w:p>
    <w:p w14:paraId="2EF7B89A">
      <w:pPr>
        <w:keepNext w:val="0"/>
        <w:keepLines w:val="0"/>
        <w:pageBreakBefore w:val="0"/>
        <w:kinsoku/>
        <w:overflowPunct/>
        <w:topLinePunct w:val="0"/>
        <w:autoSpaceDE/>
        <w:bidi w:val="0"/>
        <w:spacing w:line="560" w:lineRule="exact"/>
        <w:rPr>
          <w:rFonts w:hint="eastAsia" w:eastAsia="仿宋_GB2312"/>
          <w:b/>
          <w:sz w:val="32"/>
          <w:lang w:val="en-US" w:eastAsia="zh-CN"/>
        </w:rPr>
      </w:pPr>
    </w:p>
    <w:p w14:paraId="435C6DF5">
      <w:pPr>
        <w:keepNext w:val="0"/>
        <w:keepLines w:val="0"/>
        <w:pageBreakBefore w:val="0"/>
        <w:kinsoku/>
        <w:overflowPunct/>
        <w:topLinePunct w:val="0"/>
        <w:autoSpaceDE/>
        <w:bidi w:val="0"/>
        <w:spacing w:line="560" w:lineRule="exact"/>
        <w:rPr>
          <w:rFonts w:hint="eastAsia" w:eastAsia="仿宋_GB2312"/>
          <w:b/>
          <w:sz w:val="32"/>
          <w:lang w:val="en-US" w:eastAsia="zh-CN"/>
        </w:rPr>
      </w:pPr>
    </w:p>
    <w:p w14:paraId="71335F78">
      <w:pPr>
        <w:keepNext w:val="0"/>
        <w:keepLines w:val="0"/>
        <w:pageBreakBefore w:val="0"/>
        <w:kinsoku/>
        <w:overflowPunct/>
        <w:topLinePunct w:val="0"/>
        <w:autoSpaceDE/>
        <w:bidi w:val="0"/>
        <w:spacing w:line="560" w:lineRule="exact"/>
        <w:rPr>
          <w:rFonts w:hint="eastAsia" w:eastAsia="仿宋_GB2312"/>
          <w:b/>
          <w:sz w:val="32"/>
        </w:rPr>
      </w:pPr>
    </w:p>
    <w:p w14:paraId="07FBAAEB">
      <w:pPr>
        <w:keepNext w:val="0"/>
        <w:keepLines w:val="0"/>
        <w:pageBreakBefore w:val="0"/>
        <w:kinsoku/>
        <w:overflowPunct/>
        <w:topLinePunct w:val="0"/>
        <w:autoSpaceDE/>
        <w:bidi w:val="0"/>
        <w:spacing w:line="560" w:lineRule="exact"/>
        <w:ind w:firstLine="476" w:firstLineChars="150"/>
        <w:rPr>
          <w:rFonts w:hint="eastAsia" w:eastAsia="仿宋_GB2312"/>
          <w:sz w:val="32"/>
          <w:szCs w:val="32"/>
          <w:u w:val="single"/>
        </w:rPr>
      </w:pPr>
      <w:r>
        <w:rPr>
          <w:rFonts w:hint="eastAsia" w:eastAsia="仿宋_GB2312"/>
          <w:sz w:val="32"/>
          <w:szCs w:val="32"/>
        </w:rPr>
        <w:t>部门(单位)名称：</w:t>
      </w:r>
      <w:r>
        <w:rPr>
          <w:rFonts w:hint="eastAsia" w:eastAsia="仿宋_GB2312"/>
          <w:sz w:val="32"/>
          <w:szCs w:val="32"/>
          <w:u w:val="single"/>
        </w:rPr>
        <w:t xml:space="preserve"> </w:t>
      </w:r>
      <w:r>
        <w:rPr>
          <w:rFonts w:hint="eastAsia" w:eastAsia="仿宋_GB2312"/>
          <w:sz w:val="32"/>
          <w:szCs w:val="32"/>
          <w:u w:val="single"/>
          <w:lang w:eastAsia="zh-CN"/>
        </w:rPr>
        <w:t>岳阳市云溪区环卫绿化服务所</w:t>
      </w:r>
      <w:r>
        <w:rPr>
          <w:rFonts w:hint="eastAsia" w:eastAsia="仿宋_GB2312"/>
          <w:sz w:val="32"/>
          <w:szCs w:val="32"/>
          <w:u w:val="single"/>
        </w:rPr>
        <w:t xml:space="preserve">                              </w:t>
      </w:r>
    </w:p>
    <w:p w14:paraId="6670BD40">
      <w:pPr>
        <w:keepNext w:val="0"/>
        <w:keepLines w:val="0"/>
        <w:pageBreakBefore w:val="0"/>
        <w:kinsoku/>
        <w:overflowPunct/>
        <w:topLinePunct w:val="0"/>
        <w:autoSpaceDE/>
        <w:bidi w:val="0"/>
        <w:spacing w:line="560" w:lineRule="exact"/>
        <w:ind w:firstLine="476" w:firstLineChars="150"/>
        <w:rPr>
          <w:rFonts w:hint="eastAsia" w:eastAsia="仿宋_GB2312"/>
          <w:spacing w:val="20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预</w:t>
      </w:r>
      <w:r>
        <w:rPr>
          <w:rFonts w:hint="eastAsia" w:eastAsia="仿宋_GB2312"/>
          <w:spacing w:val="30"/>
          <w:sz w:val="32"/>
          <w:szCs w:val="32"/>
        </w:rPr>
        <w:t xml:space="preserve"> 算 编 码：</w:t>
      </w:r>
      <w:r>
        <w:rPr>
          <w:rFonts w:hint="eastAsia" w:eastAsia="仿宋_GB2312"/>
          <w:spacing w:val="20"/>
          <w:sz w:val="32"/>
          <w:szCs w:val="32"/>
          <w:u w:val="single"/>
        </w:rPr>
        <w:t xml:space="preserve">          </w:t>
      </w:r>
      <w:r>
        <w:rPr>
          <w:rFonts w:hint="eastAsia" w:eastAsia="仿宋_GB2312"/>
          <w:spacing w:val="20"/>
          <w:sz w:val="32"/>
          <w:szCs w:val="32"/>
          <w:u w:val="single"/>
          <w:lang w:val="en-US" w:eastAsia="zh-CN"/>
        </w:rPr>
        <w:t>509003</w:t>
      </w:r>
      <w:r>
        <w:rPr>
          <w:rFonts w:hint="eastAsia" w:eastAsia="仿宋_GB2312"/>
          <w:spacing w:val="20"/>
          <w:sz w:val="32"/>
          <w:szCs w:val="32"/>
          <w:u w:val="single"/>
        </w:rPr>
        <w:t xml:space="preserve">                  </w:t>
      </w:r>
    </w:p>
    <w:p w14:paraId="618D6517">
      <w:pPr>
        <w:keepNext w:val="0"/>
        <w:keepLines w:val="0"/>
        <w:pageBreakBefore w:val="0"/>
        <w:kinsoku/>
        <w:overflowPunct/>
        <w:topLinePunct w:val="0"/>
        <w:autoSpaceDE/>
        <w:bidi w:val="0"/>
        <w:spacing w:line="560" w:lineRule="exact"/>
        <w:ind w:firstLine="476" w:firstLineChars="15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评价方式：部门（单位）绩效自评</w:t>
      </w:r>
    </w:p>
    <w:p w14:paraId="2B179A03">
      <w:pPr>
        <w:keepNext w:val="0"/>
        <w:keepLines w:val="0"/>
        <w:pageBreakBefore w:val="0"/>
        <w:kinsoku/>
        <w:overflowPunct/>
        <w:topLinePunct w:val="0"/>
        <w:autoSpaceDE/>
        <w:bidi w:val="0"/>
        <w:spacing w:line="560" w:lineRule="exact"/>
        <w:ind w:firstLine="476" w:firstLineChars="15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 xml:space="preserve">评价机构：部门（单位）评价组   </w:t>
      </w:r>
    </w:p>
    <w:p w14:paraId="7F91068E">
      <w:pPr>
        <w:keepNext w:val="0"/>
        <w:keepLines w:val="0"/>
        <w:pageBreakBefore w:val="0"/>
        <w:kinsoku/>
        <w:overflowPunct/>
        <w:topLinePunct w:val="0"/>
        <w:autoSpaceDE/>
        <w:bidi w:val="0"/>
        <w:spacing w:line="560" w:lineRule="exact"/>
        <w:ind w:firstLine="2188" w:firstLineChars="690"/>
        <w:rPr>
          <w:rFonts w:hint="eastAsia" w:eastAsia="仿宋_GB2312"/>
          <w:sz w:val="32"/>
        </w:rPr>
      </w:pPr>
    </w:p>
    <w:p w14:paraId="6A6E4D11">
      <w:pPr>
        <w:keepNext w:val="0"/>
        <w:keepLines w:val="0"/>
        <w:pageBreakBefore w:val="0"/>
        <w:kinsoku/>
        <w:overflowPunct/>
        <w:topLinePunct w:val="0"/>
        <w:autoSpaceDE/>
        <w:bidi w:val="0"/>
        <w:spacing w:line="560" w:lineRule="exact"/>
        <w:ind w:firstLine="2188" w:firstLineChars="690"/>
        <w:rPr>
          <w:rFonts w:hint="eastAsia" w:eastAsia="仿宋_GB2312"/>
          <w:sz w:val="32"/>
        </w:rPr>
      </w:pPr>
    </w:p>
    <w:p w14:paraId="50C63EEC">
      <w:pPr>
        <w:keepNext w:val="0"/>
        <w:keepLines w:val="0"/>
        <w:pageBreakBefore w:val="0"/>
        <w:kinsoku/>
        <w:overflowPunct/>
        <w:topLinePunct w:val="0"/>
        <w:autoSpaceDE/>
        <w:bidi w:val="0"/>
        <w:spacing w:line="560" w:lineRule="exact"/>
        <w:ind w:firstLine="2188" w:firstLineChars="690"/>
        <w:rPr>
          <w:rFonts w:hint="eastAsia" w:eastAsia="仿宋_GB2312"/>
          <w:sz w:val="32"/>
        </w:rPr>
      </w:pPr>
    </w:p>
    <w:p w14:paraId="0EE21525">
      <w:pPr>
        <w:keepNext w:val="0"/>
        <w:keepLines w:val="0"/>
        <w:pageBreakBefore w:val="0"/>
        <w:kinsoku/>
        <w:overflowPunct/>
        <w:topLinePunct w:val="0"/>
        <w:autoSpaceDE/>
        <w:bidi w:val="0"/>
        <w:spacing w:line="560" w:lineRule="exact"/>
        <w:jc w:val="center"/>
        <w:rPr>
          <w:rFonts w:hint="eastAsia" w:eastAsia="仿宋_GB2312"/>
          <w:sz w:val="32"/>
        </w:rPr>
      </w:pPr>
    </w:p>
    <w:p w14:paraId="3AA7C3C0">
      <w:pPr>
        <w:keepNext w:val="0"/>
        <w:keepLines w:val="0"/>
        <w:pageBreakBefore w:val="0"/>
        <w:kinsoku/>
        <w:overflowPunct/>
        <w:topLinePunct w:val="0"/>
        <w:autoSpaceDE/>
        <w:bidi w:val="0"/>
        <w:spacing w:line="560" w:lineRule="exact"/>
        <w:jc w:val="center"/>
        <w:rPr>
          <w:rFonts w:hint="eastAsia" w:eastAsia="仿宋_GB2312"/>
          <w:sz w:val="32"/>
        </w:rPr>
      </w:pPr>
      <w:r>
        <w:rPr>
          <w:rFonts w:hint="eastAsia" w:eastAsia="仿宋_GB2312"/>
          <w:sz w:val="32"/>
          <w:lang w:val="en-US" w:eastAsia="zh-CN"/>
        </w:rPr>
        <w:t xml:space="preserve">         </w:t>
      </w:r>
      <w:r>
        <w:rPr>
          <w:rFonts w:hint="eastAsia" w:eastAsia="仿宋_GB2312"/>
          <w:sz w:val="32"/>
        </w:rPr>
        <w:t>报告日期：</w:t>
      </w:r>
      <w:r>
        <w:rPr>
          <w:rFonts w:hint="eastAsia" w:eastAsia="仿宋_GB2312"/>
          <w:sz w:val="32"/>
          <w:lang w:val="en-US" w:eastAsia="zh-CN"/>
        </w:rPr>
        <w:t>2025</w:t>
      </w:r>
      <w:r>
        <w:rPr>
          <w:rFonts w:hint="eastAsia" w:eastAsia="仿宋_GB2312"/>
          <w:sz w:val="32"/>
        </w:rPr>
        <w:t xml:space="preserve"> 年 </w:t>
      </w:r>
      <w:r>
        <w:rPr>
          <w:rFonts w:hint="eastAsia" w:eastAsia="仿宋_GB2312"/>
          <w:sz w:val="32"/>
          <w:lang w:val="en-US" w:eastAsia="zh-CN"/>
        </w:rPr>
        <w:t>6</w:t>
      </w:r>
      <w:r>
        <w:rPr>
          <w:rFonts w:hint="eastAsia" w:eastAsia="仿宋_GB2312"/>
          <w:sz w:val="32"/>
        </w:rPr>
        <w:t xml:space="preserve">  月 </w:t>
      </w:r>
      <w:r>
        <w:rPr>
          <w:rFonts w:hint="eastAsia" w:eastAsia="仿宋_GB2312"/>
          <w:sz w:val="32"/>
          <w:lang w:val="en-US" w:eastAsia="zh-CN"/>
        </w:rPr>
        <w:t>26</w:t>
      </w:r>
      <w:r>
        <w:rPr>
          <w:rFonts w:hint="eastAsia" w:eastAsia="仿宋_GB2312"/>
          <w:sz w:val="32"/>
        </w:rPr>
        <w:t xml:space="preserve">  日</w:t>
      </w:r>
    </w:p>
    <w:p w14:paraId="739E029B">
      <w:pPr>
        <w:keepNext w:val="0"/>
        <w:keepLines w:val="0"/>
        <w:pageBreakBefore w:val="0"/>
        <w:kinsoku/>
        <w:overflowPunct/>
        <w:topLinePunct w:val="0"/>
        <w:autoSpaceDE/>
        <w:autoSpaceDN w:val="0"/>
        <w:bidi w:val="0"/>
        <w:spacing w:line="560" w:lineRule="exact"/>
        <w:jc w:val="center"/>
        <w:textAlignment w:val="center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lang w:val="en-US" w:eastAsia="zh-CN"/>
        </w:rPr>
        <w:t xml:space="preserve">          </w:t>
      </w:r>
      <w:r>
        <w:rPr>
          <w:rFonts w:hint="eastAsia" w:eastAsia="仿宋_GB2312"/>
          <w:sz w:val="32"/>
        </w:rPr>
        <w:t>岳阳市云溪财政</w:t>
      </w:r>
      <w:r>
        <w:rPr>
          <w:rFonts w:hint="eastAsia" w:eastAsia="仿宋_GB2312"/>
          <w:sz w:val="32"/>
          <w:szCs w:val="32"/>
        </w:rPr>
        <w:t>局（制）</w:t>
      </w:r>
    </w:p>
    <w:p w14:paraId="783B9C0B">
      <w:pPr>
        <w:pStyle w:val="13"/>
        <w:rPr>
          <w:rFonts w:hint="eastAsia" w:eastAsia="仿宋_GB2312"/>
          <w:sz w:val="32"/>
          <w:szCs w:val="32"/>
        </w:rPr>
      </w:pPr>
    </w:p>
    <w:p w14:paraId="51C0229B">
      <w:pPr>
        <w:pStyle w:val="13"/>
        <w:rPr>
          <w:rFonts w:hint="eastAsia" w:eastAsia="仿宋_GB2312"/>
          <w:sz w:val="32"/>
          <w:szCs w:val="32"/>
        </w:rPr>
      </w:pPr>
    </w:p>
    <w:p w14:paraId="1795D7DB">
      <w:pPr>
        <w:pStyle w:val="13"/>
        <w:rPr>
          <w:rFonts w:hint="eastAsia" w:eastAsia="仿宋_GB2312"/>
          <w:sz w:val="32"/>
          <w:szCs w:val="32"/>
        </w:rPr>
      </w:pPr>
    </w:p>
    <w:p w14:paraId="5B6EEF1F">
      <w:pPr>
        <w:pStyle w:val="13"/>
        <w:rPr>
          <w:rFonts w:hint="eastAsia" w:eastAsia="仿宋_GB2312"/>
          <w:sz w:val="32"/>
          <w:szCs w:val="32"/>
        </w:rPr>
      </w:pPr>
    </w:p>
    <w:p w14:paraId="056218A7">
      <w:pPr>
        <w:pStyle w:val="13"/>
        <w:rPr>
          <w:rFonts w:hint="eastAsia" w:eastAsia="仿宋_GB2312"/>
          <w:sz w:val="32"/>
          <w:szCs w:val="32"/>
        </w:rPr>
      </w:pPr>
    </w:p>
    <w:p w14:paraId="2B92A07E">
      <w:pPr>
        <w:pStyle w:val="13"/>
        <w:rPr>
          <w:rFonts w:hint="eastAsia" w:eastAsia="仿宋_GB2312"/>
          <w:sz w:val="32"/>
          <w:szCs w:val="32"/>
        </w:rPr>
        <w:sectPr>
          <w:pgSz w:w="11906" w:h="16838"/>
          <w:pgMar w:top="1588" w:right="1588" w:bottom="1588" w:left="1588" w:header="851" w:footer="992" w:gutter="0"/>
          <w:pgNumType w:start="1"/>
          <w:cols w:space="720" w:num="1"/>
          <w:titlePg/>
          <w:docGrid w:type="linesAndChars" w:linePitch="602" w:charSpace="-782"/>
        </w:sectPr>
      </w:pPr>
    </w:p>
    <w:p w14:paraId="42CD9949"/>
    <w:p w14:paraId="040FA04D">
      <w:pPr>
        <w:keepNext w:val="0"/>
        <w:keepLines w:val="0"/>
        <w:pageBreakBefore w:val="0"/>
        <w:widowControl/>
        <w:tabs>
          <w:tab w:val="left" w:pos="3611"/>
          <w:tab w:val="left" w:pos="4791"/>
          <w:tab w:val="left" w:pos="5951"/>
          <w:tab w:val="left" w:pos="7071"/>
          <w:tab w:val="left" w:pos="8191"/>
          <w:tab w:val="left" w:pos="931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91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val="en-US" w:eastAsia="zh-CN"/>
        </w:rPr>
        <w:t>整体支出绩效自评表</w:t>
      </w:r>
    </w:p>
    <w:tbl>
      <w:tblPr>
        <w:tblStyle w:val="7"/>
        <w:tblW w:w="5374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4"/>
        <w:gridCol w:w="856"/>
        <w:gridCol w:w="887"/>
        <w:gridCol w:w="412"/>
        <w:gridCol w:w="913"/>
        <w:gridCol w:w="575"/>
        <w:gridCol w:w="478"/>
        <w:gridCol w:w="797"/>
        <w:gridCol w:w="850"/>
        <w:gridCol w:w="647"/>
        <w:gridCol w:w="53"/>
        <w:gridCol w:w="952"/>
        <w:gridCol w:w="1096"/>
        <w:gridCol w:w="21"/>
      </w:tblGrid>
      <w:tr w14:paraId="2463D2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pct"/>
          <w:trHeight w:val="764" w:hRule="atLeast"/>
        </w:trPr>
        <w:tc>
          <w:tcPr>
            <w:tcW w:w="807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3D1B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预算部门名称</w:t>
            </w:r>
          </w:p>
        </w:tc>
        <w:tc>
          <w:tcPr>
            <w:tcW w:w="4180" w:type="pct"/>
            <w:gridSpan w:val="11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5333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岳阳市云溪区环卫绿化服务所</w:t>
            </w:r>
          </w:p>
        </w:tc>
      </w:tr>
      <w:tr w14:paraId="56CED2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pct"/>
          <w:trHeight w:val="480" w:hRule="atLeast"/>
        </w:trPr>
        <w:tc>
          <w:tcPr>
            <w:tcW w:w="807" w:type="pct"/>
            <w:gridSpan w:val="2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305F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年度预算申请</w:t>
            </w:r>
          </w:p>
          <w:p w14:paraId="16789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(万元)</w:t>
            </w:r>
          </w:p>
        </w:tc>
        <w:tc>
          <w:tcPr>
            <w:tcW w:w="708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F0880C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92C4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年初预算数(万元)</w:t>
            </w:r>
          </w:p>
        </w:tc>
        <w:tc>
          <w:tcPr>
            <w:tcW w:w="574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BE38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全年预算数（万元）</w:t>
            </w:r>
          </w:p>
        </w:tc>
        <w:tc>
          <w:tcPr>
            <w:tcW w:w="43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6B85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全年执行数（万元）</w:t>
            </w:r>
          </w:p>
        </w:tc>
        <w:tc>
          <w:tcPr>
            <w:tcW w:w="817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A589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分值</w:t>
            </w:r>
          </w:p>
        </w:tc>
        <w:tc>
          <w:tcPr>
            <w:tcW w:w="548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AB1F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执行率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6B04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得分</w:t>
            </w:r>
          </w:p>
        </w:tc>
      </w:tr>
      <w:tr w14:paraId="78E8BD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pct"/>
          <w:trHeight w:val="576" w:hRule="atLeast"/>
        </w:trPr>
        <w:tc>
          <w:tcPr>
            <w:tcW w:w="807" w:type="pct"/>
            <w:gridSpan w:val="2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C6FD5D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8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40FF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年度资金总额：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067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2384.04</w:t>
            </w:r>
          </w:p>
        </w:tc>
        <w:tc>
          <w:tcPr>
            <w:tcW w:w="574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6804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3753.17</w:t>
            </w:r>
          </w:p>
        </w:tc>
        <w:tc>
          <w:tcPr>
            <w:tcW w:w="43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7916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3753.17</w:t>
            </w:r>
          </w:p>
        </w:tc>
        <w:tc>
          <w:tcPr>
            <w:tcW w:w="817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7E9C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548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9B35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100.00%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7DA6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10.00</w:t>
            </w:r>
          </w:p>
        </w:tc>
      </w:tr>
      <w:tr w14:paraId="07B9D3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pct"/>
          <w:trHeight w:val="534" w:hRule="atLeast"/>
        </w:trPr>
        <w:tc>
          <w:tcPr>
            <w:tcW w:w="807" w:type="pct"/>
            <w:gridSpan w:val="2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2B8CC5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17" w:type="pct"/>
            <w:gridSpan w:val="6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228AB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按收入性质分：</w:t>
            </w:r>
          </w:p>
        </w:tc>
        <w:tc>
          <w:tcPr>
            <w:tcW w:w="1963" w:type="pct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DA2EE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按支出性质分：</w:t>
            </w:r>
          </w:p>
        </w:tc>
      </w:tr>
      <w:tr w14:paraId="054EFB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pct"/>
          <w:trHeight w:val="744" w:hRule="atLeast"/>
        </w:trPr>
        <w:tc>
          <w:tcPr>
            <w:tcW w:w="807" w:type="pct"/>
            <w:gridSpan w:val="2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CFFB72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8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FB5E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一般公共预算：</w:t>
            </w:r>
          </w:p>
        </w:tc>
        <w:tc>
          <w:tcPr>
            <w:tcW w:w="1508" w:type="pct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C6AC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3753.17</w:t>
            </w:r>
          </w:p>
        </w:tc>
        <w:tc>
          <w:tcPr>
            <w:tcW w:w="817" w:type="pct"/>
            <w:gridSpan w:val="2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99CB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其中:基本支出：</w:t>
            </w:r>
          </w:p>
        </w:tc>
        <w:tc>
          <w:tcPr>
            <w:tcW w:w="1146" w:type="pct"/>
            <w:gridSpan w:val="3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720A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555.81</w:t>
            </w:r>
          </w:p>
        </w:tc>
      </w:tr>
      <w:tr w14:paraId="3B3530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pct"/>
          <w:trHeight w:val="528" w:hRule="atLeast"/>
        </w:trPr>
        <w:tc>
          <w:tcPr>
            <w:tcW w:w="807" w:type="pct"/>
            <w:gridSpan w:val="2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08E094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8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8304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政府性基金拨款：</w:t>
            </w:r>
          </w:p>
        </w:tc>
        <w:tc>
          <w:tcPr>
            <w:tcW w:w="1508" w:type="pct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8768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17" w:type="pct"/>
            <w:gridSpan w:val="2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D80261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6" w:type="pct"/>
            <w:gridSpan w:val="3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B739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9F80E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pct"/>
          <w:trHeight w:val="552" w:hRule="atLeast"/>
        </w:trPr>
        <w:tc>
          <w:tcPr>
            <w:tcW w:w="807" w:type="pct"/>
            <w:gridSpan w:val="2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9D904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8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BB34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纳入专户管理的非税收入拨款：</w:t>
            </w:r>
          </w:p>
        </w:tc>
        <w:tc>
          <w:tcPr>
            <w:tcW w:w="1508" w:type="pct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52C7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17" w:type="pct"/>
            <w:gridSpan w:val="2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9732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项目支出：</w:t>
            </w:r>
          </w:p>
        </w:tc>
        <w:tc>
          <w:tcPr>
            <w:tcW w:w="1146" w:type="pct"/>
            <w:gridSpan w:val="3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65CE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3197.36</w:t>
            </w:r>
          </w:p>
        </w:tc>
      </w:tr>
      <w:tr w14:paraId="79F995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pct"/>
          <w:trHeight w:val="708" w:hRule="atLeast"/>
        </w:trPr>
        <w:tc>
          <w:tcPr>
            <w:tcW w:w="807" w:type="pct"/>
            <w:gridSpan w:val="2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C5EB20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8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D562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其他资金</w:t>
            </w:r>
          </w:p>
        </w:tc>
        <w:tc>
          <w:tcPr>
            <w:tcW w:w="1508" w:type="pct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AA9A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17" w:type="pct"/>
            <w:gridSpan w:val="2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19398F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6" w:type="pct"/>
            <w:gridSpan w:val="3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766C6E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3E71A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pct"/>
          <w:trHeight w:val="672" w:hRule="atLeast"/>
        </w:trPr>
        <w:tc>
          <w:tcPr>
            <w:tcW w:w="807" w:type="pct"/>
            <w:gridSpan w:val="2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0A7B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年度总体目标</w:t>
            </w:r>
          </w:p>
        </w:tc>
        <w:tc>
          <w:tcPr>
            <w:tcW w:w="2217" w:type="pct"/>
            <w:gridSpan w:val="6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43E6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预期目标</w:t>
            </w:r>
          </w:p>
        </w:tc>
        <w:tc>
          <w:tcPr>
            <w:tcW w:w="1963" w:type="pct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7C69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实际完成情况</w:t>
            </w:r>
          </w:p>
        </w:tc>
      </w:tr>
      <w:tr w14:paraId="2D75E5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pct"/>
          <w:trHeight w:val="720" w:hRule="atLeast"/>
        </w:trPr>
        <w:tc>
          <w:tcPr>
            <w:tcW w:w="807" w:type="pct"/>
            <w:gridSpan w:val="2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0E579C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17" w:type="pct"/>
            <w:gridSpan w:val="6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FE88D1E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保障环卫所正常履行相关职责。城区道路清扫保洁实行环境卫生长效管理机制，全天候保洁，垃圾日产日清，绿化养护标准化，无损绿毁绿现象，环卫设施确保正常运行。</w:t>
            </w:r>
          </w:p>
          <w:p w14:paraId="45A462A0"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2、指导农村生活垃圾清运工作。</w:t>
            </w:r>
          </w:p>
          <w:p w14:paraId="56EFCE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3、逐步开展垃圾分类工作。</w:t>
            </w:r>
          </w:p>
          <w:p w14:paraId="4A8FFE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4、保证人员经费正常发放。</w:t>
            </w:r>
          </w:p>
        </w:tc>
        <w:tc>
          <w:tcPr>
            <w:tcW w:w="1963" w:type="pct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1EEA62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1、环卫所正常履行相关职责。城区道路清扫保洁实行环境卫生长效管理机制，全天候保洁，垃圾日产日清，绿化养护标准化，无损绿毁绿现象，环卫设施确保正常运行。</w:t>
            </w:r>
          </w:p>
          <w:p w14:paraId="4AD2D26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2、指导农村生活垃圾清运工作。</w:t>
            </w:r>
          </w:p>
          <w:p w14:paraId="4ACA5E2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3、开展垃圾分类工作。</w:t>
            </w:r>
          </w:p>
          <w:p w14:paraId="438ECAE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4、人员经费正常发放。</w:t>
            </w:r>
          </w:p>
        </w:tc>
      </w:tr>
      <w:tr w14:paraId="013BE7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340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E31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绩效指标</w:t>
            </w:r>
          </w:p>
        </w:tc>
        <w:tc>
          <w:tcPr>
            <w:tcW w:w="467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FBBF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484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7CB4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1037" w:type="pct"/>
            <w:gridSpan w:val="3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E2ED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695" w:type="pct"/>
            <w:gridSpan w:val="2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A4CE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年度指标值</w:t>
            </w:r>
          </w:p>
        </w:tc>
        <w:tc>
          <w:tcPr>
            <w:tcW w:w="463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6EC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实际完成值</w:t>
            </w:r>
          </w:p>
        </w:tc>
        <w:tc>
          <w:tcPr>
            <w:tcW w:w="382" w:type="pct"/>
            <w:gridSpan w:val="2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23B2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分值</w:t>
            </w:r>
          </w:p>
        </w:tc>
        <w:tc>
          <w:tcPr>
            <w:tcW w:w="519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47CF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得分</w:t>
            </w:r>
          </w:p>
        </w:tc>
        <w:tc>
          <w:tcPr>
            <w:tcW w:w="609" w:type="pct"/>
            <w:gridSpan w:val="2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A590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偏差原因分析及改进措施</w:t>
            </w:r>
          </w:p>
        </w:tc>
      </w:tr>
      <w:tr w14:paraId="338E27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34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A95CF12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7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5FA5B9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84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A4A20F6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7" w:type="pct"/>
            <w:gridSpan w:val="3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BD516F3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5" w:type="pct"/>
            <w:gridSpan w:val="2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C51642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3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3C62E97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82" w:type="pct"/>
            <w:gridSpan w:val="2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D15F77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FB345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9" w:type="pct"/>
            <w:gridSpan w:val="2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15C8430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FBB6B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340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58A2E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绩效指标</w:t>
            </w:r>
          </w:p>
        </w:tc>
        <w:tc>
          <w:tcPr>
            <w:tcW w:w="467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E164F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484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117FE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1037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B7EC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保洁面积</w:t>
            </w:r>
          </w:p>
        </w:tc>
        <w:tc>
          <w:tcPr>
            <w:tcW w:w="695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296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≥59.91万平方米</w:t>
            </w:r>
          </w:p>
        </w:tc>
        <w:tc>
          <w:tcPr>
            <w:tcW w:w="46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B64D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59.91万平方米</w:t>
            </w:r>
          </w:p>
        </w:tc>
        <w:tc>
          <w:tcPr>
            <w:tcW w:w="382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8B2C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51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BBD0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609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4A0C2C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64ED8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34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2FA0F34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7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BB1DB86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84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984EC56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7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1D48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绿化养护</w:t>
            </w:r>
          </w:p>
        </w:tc>
        <w:tc>
          <w:tcPr>
            <w:tcW w:w="695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DB50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≥9.92万平方米</w:t>
            </w:r>
          </w:p>
        </w:tc>
        <w:tc>
          <w:tcPr>
            <w:tcW w:w="46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323D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9.92万平方米</w:t>
            </w:r>
          </w:p>
        </w:tc>
        <w:tc>
          <w:tcPr>
            <w:tcW w:w="382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9F78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51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0DEF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609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648AB9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13403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34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D96C48F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7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FDC8904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84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68762AE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7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36C0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环卫车</w:t>
            </w:r>
          </w:p>
        </w:tc>
        <w:tc>
          <w:tcPr>
            <w:tcW w:w="695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CB9C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≥34台</w:t>
            </w:r>
          </w:p>
        </w:tc>
        <w:tc>
          <w:tcPr>
            <w:tcW w:w="46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42D2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34台</w:t>
            </w:r>
          </w:p>
        </w:tc>
        <w:tc>
          <w:tcPr>
            <w:tcW w:w="382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D65D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51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9CEA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609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9070D9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EE337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34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200319F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7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E17A409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84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9E4B2A7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7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C257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环卫设施</w:t>
            </w:r>
          </w:p>
        </w:tc>
        <w:tc>
          <w:tcPr>
            <w:tcW w:w="695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67DE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≥150个</w:t>
            </w:r>
          </w:p>
        </w:tc>
        <w:tc>
          <w:tcPr>
            <w:tcW w:w="46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8D84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150个</w:t>
            </w:r>
          </w:p>
        </w:tc>
        <w:tc>
          <w:tcPr>
            <w:tcW w:w="382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3737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51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F6AA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609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A77754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D8325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34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D559530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7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2FD45C9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84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451B0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1037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4A12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垃圾清运率</w:t>
            </w:r>
          </w:p>
        </w:tc>
        <w:tc>
          <w:tcPr>
            <w:tcW w:w="695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2137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≥100%</w:t>
            </w:r>
          </w:p>
        </w:tc>
        <w:tc>
          <w:tcPr>
            <w:tcW w:w="46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F4FF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  <w:tc>
          <w:tcPr>
            <w:tcW w:w="382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1D5D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51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0D88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609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5D14E7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3438B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34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CEA7C7E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7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C6F330C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84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61FD2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37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1F41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道路清扫率</w:t>
            </w:r>
          </w:p>
        </w:tc>
        <w:tc>
          <w:tcPr>
            <w:tcW w:w="695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4E9B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≥100%</w:t>
            </w:r>
          </w:p>
        </w:tc>
        <w:tc>
          <w:tcPr>
            <w:tcW w:w="46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5AD6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  <w:tc>
          <w:tcPr>
            <w:tcW w:w="382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D18E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51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8949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609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846F34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DD047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34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4C64DB3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7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4CCB74B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84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D5A59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37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10BB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绿化覆盖率</w:t>
            </w:r>
          </w:p>
        </w:tc>
        <w:tc>
          <w:tcPr>
            <w:tcW w:w="695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98BE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≥41%</w:t>
            </w:r>
          </w:p>
        </w:tc>
        <w:tc>
          <w:tcPr>
            <w:tcW w:w="46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847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41%</w:t>
            </w:r>
          </w:p>
        </w:tc>
        <w:tc>
          <w:tcPr>
            <w:tcW w:w="382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73C6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51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080A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609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D6F49A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8A347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34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BEF91B5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7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F403248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69DAE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1037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2A3F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年资金到位率</w:t>
            </w:r>
          </w:p>
        </w:tc>
        <w:tc>
          <w:tcPr>
            <w:tcW w:w="695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EC51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≥100%</w:t>
            </w:r>
          </w:p>
        </w:tc>
        <w:tc>
          <w:tcPr>
            <w:tcW w:w="46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513F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  <w:tc>
          <w:tcPr>
            <w:tcW w:w="382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3C58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51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6F0F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609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C2D233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69192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34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6A044A0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7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FF818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7289B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经济效益指标</w:t>
            </w:r>
          </w:p>
        </w:tc>
        <w:tc>
          <w:tcPr>
            <w:tcW w:w="1037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A76E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提供就业岗位</w:t>
            </w:r>
          </w:p>
        </w:tc>
        <w:tc>
          <w:tcPr>
            <w:tcW w:w="695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B64F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≥80个</w:t>
            </w:r>
          </w:p>
        </w:tc>
        <w:tc>
          <w:tcPr>
            <w:tcW w:w="46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73B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80个</w:t>
            </w:r>
          </w:p>
        </w:tc>
        <w:tc>
          <w:tcPr>
            <w:tcW w:w="382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A01D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51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C4EF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609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8D9B5F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3607A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34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36142F5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7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2AE12EF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254B5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社会效益指标</w:t>
            </w:r>
          </w:p>
        </w:tc>
        <w:tc>
          <w:tcPr>
            <w:tcW w:w="1037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8853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获得2个市环境卫生月考评第一</w:t>
            </w:r>
          </w:p>
        </w:tc>
        <w:tc>
          <w:tcPr>
            <w:tcW w:w="695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FAAB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≥2个</w:t>
            </w:r>
          </w:p>
        </w:tc>
        <w:tc>
          <w:tcPr>
            <w:tcW w:w="46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F995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2个</w:t>
            </w:r>
          </w:p>
        </w:tc>
        <w:tc>
          <w:tcPr>
            <w:tcW w:w="382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A61E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51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F1D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609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CE6160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B8A13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34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7009FB7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7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E376DDD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9443F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生态效益指标</w:t>
            </w:r>
          </w:p>
        </w:tc>
        <w:tc>
          <w:tcPr>
            <w:tcW w:w="1037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F67F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城区街道无裸露垃圾</w:t>
            </w:r>
          </w:p>
        </w:tc>
        <w:tc>
          <w:tcPr>
            <w:tcW w:w="695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7CF6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城区街道无裸露垃圾</w:t>
            </w:r>
          </w:p>
        </w:tc>
        <w:tc>
          <w:tcPr>
            <w:tcW w:w="46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A40F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全天候开展洒水水喷雾降尘作业达到生态环保</w:t>
            </w:r>
          </w:p>
        </w:tc>
        <w:tc>
          <w:tcPr>
            <w:tcW w:w="382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883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51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241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609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EE1992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FA94A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34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DD7143B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7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1A5550C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62FC0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可持续影响指标</w:t>
            </w:r>
          </w:p>
        </w:tc>
        <w:tc>
          <w:tcPr>
            <w:tcW w:w="1037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29F0E8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5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226FC8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9E7261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82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474E15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DD8A616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9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02DF76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2CE15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34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997B741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1D374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0296B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服务对象满意度指标</w:t>
            </w:r>
          </w:p>
        </w:tc>
        <w:tc>
          <w:tcPr>
            <w:tcW w:w="1037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A0D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群众满意率</w:t>
            </w:r>
          </w:p>
        </w:tc>
        <w:tc>
          <w:tcPr>
            <w:tcW w:w="695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B9D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≥90%</w:t>
            </w:r>
          </w:p>
        </w:tc>
        <w:tc>
          <w:tcPr>
            <w:tcW w:w="46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B0DD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95%</w:t>
            </w:r>
          </w:p>
        </w:tc>
        <w:tc>
          <w:tcPr>
            <w:tcW w:w="382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C1FB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51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4714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609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C8DB50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9BF50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34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BD1D69E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7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12FBC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成本指标</w:t>
            </w:r>
          </w:p>
        </w:tc>
        <w:tc>
          <w:tcPr>
            <w:tcW w:w="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F4EE7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经济成本指标</w:t>
            </w:r>
          </w:p>
        </w:tc>
        <w:tc>
          <w:tcPr>
            <w:tcW w:w="1037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B38D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财政预算</w:t>
            </w:r>
          </w:p>
        </w:tc>
        <w:tc>
          <w:tcPr>
            <w:tcW w:w="695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5603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≤3753.17万元</w:t>
            </w:r>
          </w:p>
        </w:tc>
        <w:tc>
          <w:tcPr>
            <w:tcW w:w="46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E6DB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3753.17万元</w:t>
            </w:r>
          </w:p>
        </w:tc>
        <w:tc>
          <w:tcPr>
            <w:tcW w:w="382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3537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51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7D59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609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201732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D0A53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34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D18D209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7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349035B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F9160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社会成本指标</w:t>
            </w:r>
          </w:p>
        </w:tc>
        <w:tc>
          <w:tcPr>
            <w:tcW w:w="1037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17C990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5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936A38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9603BA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82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E51987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B142BEC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9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FD5805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3E1F0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34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23DCEA6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7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062D904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ECE1F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生态环境成本指标</w:t>
            </w:r>
          </w:p>
        </w:tc>
        <w:tc>
          <w:tcPr>
            <w:tcW w:w="1037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580C95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5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C21C5E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444E3F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82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72849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3BF158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9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FD5C34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6BDA8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1291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81E4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绩效自评综合得分</w:t>
            </w:r>
          </w:p>
        </w:tc>
        <w:tc>
          <w:tcPr>
            <w:tcW w:w="3708" w:type="pct"/>
            <w:gridSpan w:val="11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B903B04"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100分</w:t>
            </w:r>
          </w:p>
        </w:tc>
      </w:tr>
      <w:tr w14:paraId="09AA28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1291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17ED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评价等次</w:t>
            </w:r>
          </w:p>
        </w:tc>
        <w:tc>
          <w:tcPr>
            <w:tcW w:w="3708" w:type="pct"/>
            <w:gridSpan w:val="11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5DD262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优</w:t>
            </w:r>
          </w:p>
        </w:tc>
      </w:tr>
    </w:tbl>
    <w:p w14:paraId="4DB8718C">
      <w:pPr>
        <w:pStyle w:val="11"/>
      </w:pPr>
    </w:p>
    <w:p w14:paraId="64B87955">
      <w:pPr>
        <w:pStyle w:val="11"/>
      </w:pPr>
    </w:p>
    <w:p w14:paraId="76212A33">
      <w:pPr>
        <w:pStyle w:val="11"/>
      </w:pPr>
    </w:p>
    <w:p w14:paraId="0B1E412C">
      <w:pPr>
        <w:pStyle w:val="11"/>
        <w:ind w:left="0" w:leftChars="0" w:firstLine="0" w:firstLineChars="0"/>
      </w:pPr>
    </w:p>
    <w:tbl>
      <w:tblPr>
        <w:tblStyle w:val="7"/>
        <w:tblW w:w="980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5" w:type="dxa"/>
          <w:bottom w:w="0" w:type="dxa"/>
          <w:right w:w="15" w:type="dxa"/>
        </w:tblCellMar>
      </w:tblPr>
      <w:tblGrid>
        <w:gridCol w:w="1654"/>
        <w:gridCol w:w="3561"/>
        <w:gridCol w:w="1479"/>
        <w:gridCol w:w="3106"/>
      </w:tblGrid>
      <w:tr w14:paraId="737944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9800" w:type="dxa"/>
            <w:gridSpan w:val="4"/>
            <w:noWrap w:val="0"/>
            <w:vAlign w:val="center"/>
          </w:tcPr>
          <w:p w14:paraId="4E0405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  <w:t>四、评价人员</w:t>
            </w:r>
          </w:p>
        </w:tc>
      </w:tr>
      <w:tr w14:paraId="58AE6B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654" w:type="dxa"/>
            <w:noWrap w:val="0"/>
            <w:vAlign w:val="center"/>
          </w:tcPr>
          <w:p w14:paraId="1FFBBF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姓  名</w:t>
            </w:r>
          </w:p>
        </w:tc>
        <w:tc>
          <w:tcPr>
            <w:tcW w:w="3561" w:type="dxa"/>
            <w:noWrap w:val="0"/>
            <w:vAlign w:val="center"/>
          </w:tcPr>
          <w:p w14:paraId="4E75E3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职务/职称</w:t>
            </w:r>
          </w:p>
        </w:tc>
        <w:tc>
          <w:tcPr>
            <w:tcW w:w="1479" w:type="dxa"/>
            <w:noWrap w:val="0"/>
            <w:vAlign w:val="center"/>
          </w:tcPr>
          <w:p w14:paraId="35C859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单  位</w:t>
            </w:r>
          </w:p>
        </w:tc>
        <w:tc>
          <w:tcPr>
            <w:tcW w:w="3106" w:type="dxa"/>
            <w:noWrap w:val="0"/>
            <w:vAlign w:val="center"/>
          </w:tcPr>
          <w:p w14:paraId="5C93B9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签  字</w:t>
            </w:r>
          </w:p>
        </w:tc>
      </w:tr>
      <w:tr w14:paraId="0F210B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1654" w:type="dxa"/>
            <w:noWrap w:val="0"/>
            <w:vAlign w:val="center"/>
          </w:tcPr>
          <w:p w14:paraId="51EFF3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3561" w:type="dxa"/>
            <w:noWrap w:val="0"/>
            <w:vAlign w:val="center"/>
          </w:tcPr>
          <w:p w14:paraId="4DFF44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</w:p>
        </w:tc>
        <w:tc>
          <w:tcPr>
            <w:tcW w:w="1479" w:type="dxa"/>
            <w:noWrap w:val="0"/>
            <w:vAlign w:val="center"/>
          </w:tcPr>
          <w:p w14:paraId="5A159F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3106" w:type="dxa"/>
            <w:noWrap w:val="0"/>
            <w:vAlign w:val="center"/>
          </w:tcPr>
          <w:p w14:paraId="13C68B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 w14:paraId="1CD4E0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1654" w:type="dxa"/>
            <w:noWrap w:val="0"/>
            <w:vAlign w:val="center"/>
          </w:tcPr>
          <w:p w14:paraId="73BBDB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3561" w:type="dxa"/>
            <w:noWrap w:val="0"/>
            <w:vAlign w:val="center"/>
          </w:tcPr>
          <w:p w14:paraId="45B67E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479" w:type="dxa"/>
            <w:noWrap w:val="0"/>
            <w:vAlign w:val="center"/>
          </w:tcPr>
          <w:p w14:paraId="788CB4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3106" w:type="dxa"/>
            <w:noWrap w:val="0"/>
            <w:vAlign w:val="center"/>
          </w:tcPr>
          <w:p w14:paraId="6CF328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 w14:paraId="33DC9F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1654" w:type="dxa"/>
            <w:noWrap w:val="0"/>
            <w:vAlign w:val="center"/>
          </w:tcPr>
          <w:p w14:paraId="6BAA64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3561" w:type="dxa"/>
            <w:noWrap w:val="0"/>
            <w:vAlign w:val="center"/>
          </w:tcPr>
          <w:p w14:paraId="10CBE2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479" w:type="dxa"/>
            <w:noWrap w:val="0"/>
            <w:vAlign w:val="center"/>
          </w:tcPr>
          <w:p w14:paraId="7A63DB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3106" w:type="dxa"/>
            <w:noWrap w:val="0"/>
            <w:vAlign w:val="center"/>
          </w:tcPr>
          <w:p w14:paraId="50FCE4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 w14:paraId="12781A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1654" w:type="dxa"/>
            <w:noWrap w:val="0"/>
            <w:vAlign w:val="center"/>
          </w:tcPr>
          <w:p w14:paraId="42A7E4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3561" w:type="dxa"/>
            <w:noWrap w:val="0"/>
            <w:vAlign w:val="center"/>
          </w:tcPr>
          <w:p w14:paraId="7C2544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479" w:type="dxa"/>
            <w:noWrap w:val="0"/>
            <w:vAlign w:val="center"/>
          </w:tcPr>
          <w:p w14:paraId="429FF4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3106" w:type="dxa"/>
            <w:noWrap w:val="0"/>
            <w:vAlign w:val="center"/>
          </w:tcPr>
          <w:p w14:paraId="3C7CB5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 w14:paraId="606860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460" w:hRule="atLeast"/>
          <w:jc w:val="center"/>
        </w:trPr>
        <w:tc>
          <w:tcPr>
            <w:tcW w:w="9800" w:type="dxa"/>
            <w:gridSpan w:val="4"/>
            <w:noWrap w:val="0"/>
            <w:vAlign w:val="center"/>
          </w:tcPr>
          <w:p w14:paraId="02ECAF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评价组组长（签字）：</w:t>
            </w:r>
          </w:p>
          <w:p w14:paraId="27E01A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 w14:paraId="2C2C6D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 w14:paraId="6415B1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 w14:paraId="5C8CAE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 w14:paraId="503404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 xml:space="preserve">                                                               年    月    日</w:t>
            </w:r>
          </w:p>
        </w:tc>
      </w:tr>
      <w:tr w14:paraId="531C8F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190" w:hRule="atLeast"/>
          <w:jc w:val="center"/>
        </w:trPr>
        <w:tc>
          <w:tcPr>
            <w:tcW w:w="9800" w:type="dxa"/>
            <w:gridSpan w:val="4"/>
            <w:noWrap w:val="0"/>
            <w:vAlign w:val="center"/>
          </w:tcPr>
          <w:p w14:paraId="640537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部门（单位）意见：</w:t>
            </w:r>
          </w:p>
          <w:p w14:paraId="082A07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 w14:paraId="4FA288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 xml:space="preserve">                                         部门（单位）负责人（签章）：</w:t>
            </w:r>
          </w:p>
          <w:p w14:paraId="4B95CB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 xml:space="preserve">                                                               年    月    日</w:t>
            </w:r>
          </w:p>
        </w:tc>
      </w:tr>
      <w:tr w14:paraId="7C4AAF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560" w:hRule="atLeast"/>
          <w:jc w:val="center"/>
        </w:trPr>
        <w:tc>
          <w:tcPr>
            <w:tcW w:w="9800" w:type="dxa"/>
            <w:gridSpan w:val="4"/>
            <w:noWrap w:val="0"/>
            <w:vAlign w:val="center"/>
          </w:tcPr>
          <w:p w14:paraId="30D347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pacing w:line="560" w:lineRule="exact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财政部门归口业务股室意见：</w:t>
            </w:r>
          </w:p>
          <w:p w14:paraId="6CEC4F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pacing w:line="560" w:lineRule="exact"/>
              <w:rPr>
                <w:rFonts w:hint="eastAsia" w:eastAsia="仿宋_GB2312"/>
                <w:sz w:val="24"/>
              </w:rPr>
            </w:pPr>
          </w:p>
          <w:p w14:paraId="6DB927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pacing w:line="560" w:lineRule="exact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                                财政部门归口业务股室负责人（签章）：</w:t>
            </w:r>
          </w:p>
          <w:p w14:paraId="4D9549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                                                               年    月   日</w:t>
            </w:r>
          </w:p>
        </w:tc>
      </w:tr>
    </w:tbl>
    <w:p w14:paraId="35F24A3D">
      <w:pPr>
        <w:pStyle w:val="11"/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eastAsia="仿宋_GB2312" w:cs="仿宋_GB2312"/>
          <w:bCs/>
          <w:sz w:val="28"/>
          <w:szCs w:val="28"/>
        </w:rPr>
        <w:t>填报人（签名）：                          联系电话：</w:t>
      </w:r>
    </w:p>
    <w:p w14:paraId="5023C676">
      <w:pPr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附件1</w:t>
      </w:r>
    </w:p>
    <w:p w14:paraId="4E011A37">
      <w:pPr>
        <w:bidi w:val="0"/>
        <w:jc w:val="center"/>
        <w:rPr>
          <w:rFonts w:hint="eastAsia" w:ascii="方正小标宋_GBK" w:hAnsi="方正小标宋_GBK" w:eastAsia="方正小标宋_GBK" w:cs="方正小标宋_GBK"/>
          <w:b/>
          <w:bCs/>
          <w:i w:val="0"/>
          <w:iCs w:val="0"/>
          <w:caps w:val="0"/>
          <w:color w:val="000000"/>
          <w:spacing w:val="0"/>
          <w:kern w:val="0"/>
          <w:sz w:val="44"/>
          <w:szCs w:val="44"/>
          <w:shd w:val="clear" w:fill="FFFFFF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b/>
          <w:bCs/>
          <w:i w:val="0"/>
          <w:iCs w:val="0"/>
          <w:caps w:val="0"/>
          <w:color w:val="000000"/>
          <w:spacing w:val="0"/>
          <w:kern w:val="0"/>
          <w:sz w:val="44"/>
          <w:szCs w:val="44"/>
          <w:shd w:val="clear" w:fill="FFFFFF"/>
          <w:lang w:val="en-US" w:eastAsia="zh-CN" w:bidi="ar"/>
        </w:rPr>
        <w:t>岳阳市云溪区环卫绿化服务所</w:t>
      </w:r>
    </w:p>
    <w:p w14:paraId="324A353C">
      <w:pPr>
        <w:bidi w:val="0"/>
        <w:jc w:val="center"/>
        <w:rPr>
          <w:rFonts w:hint="eastAsia" w:ascii="方正小标宋_GBK" w:hAnsi="方正小标宋_GBK" w:eastAsia="方正小标宋_GBK" w:cs="方正小标宋_GBK"/>
          <w:b/>
          <w:bCs/>
          <w:i w:val="0"/>
          <w:iCs w:val="0"/>
          <w:caps w:val="0"/>
          <w:color w:val="000000"/>
          <w:spacing w:val="0"/>
          <w:kern w:val="0"/>
          <w:sz w:val="44"/>
          <w:szCs w:val="44"/>
          <w:shd w:val="clear" w:fill="FFFFFF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b/>
          <w:bCs/>
          <w:i w:val="0"/>
          <w:iCs w:val="0"/>
          <w:caps w:val="0"/>
          <w:color w:val="000000"/>
          <w:spacing w:val="0"/>
          <w:kern w:val="0"/>
          <w:sz w:val="44"/>
          <w:szCs w:val="44"/>
          <w:shd w:val="clear" w:fill="FFFFFF"/>
          <w:lang w:val="en-US" w:eastAsia="zh-CN" w:bidi="ar"/>
        </w:rPr>
        <w:t>部门整体支出绩效自评报告</w:t>
      </w:r>
    </w:p>
    <w:p w14:paraId="272DDD17">
      <w:pPr>
        <w:bidi w:val="0"/>
      </w:pPr>
    </w:p>
    <w:p w14:paraId="7A58CD6D">
      <w:pPr>
        <w:pStyle w:val="2"/>
        <w:bidi w:val="0"/>
        <w:ind w:left="0" w:leftChars="0" w:firstLine="0" w:firstLineChars="0"/>
        <w:rPr>
          <w:rFonts w:hint="eastAsia"/>
        </w:rPr>
      </w:pPr>
      <w:r>
        <w:rPr>
          <w:rFonts w:hint="eastAsia"/>
        </w:rPr>
        <w:t>一、部门（单位）概况</w:t>
      </w:r>
    </w:p>
    <w:p w14:paraId="5B59A38D">
      <w:pPr>
        <w:pStyle w:val="3"/>
        <w:bidi w:val="0"/>
        <w:ind w:left="0" w:leftChars="0" w:firstLine="0" w:firstLineChars="0"/>
        <w:rPr>
          <w:rFonts w:hint="default"/>
        </w:rPr>
      </w:pPr>
      <w:r>
        <w:rPr>
          <w:rFonts w:hint="default"/>
        </w:rPr>
        <w:t>（一）机构设置情况</w:t>
      </w:r>
    </w:p>
    <w:p w14:paraId="317739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default" w:asci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岳阳市云溪区环卫绿化服务所内设机构包括：根据编办核定，我所设综合室、城区环卫绿化中心、长岭环卫绿化中心、岳化环卫绿化中心、费收征稽中心、垃圾处置中心6个内设机构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40CC8834">
      <w:pPr>
        <w:pStyle w:val="3"/>
        <w:bidi w:val="0"/>
        <w:ind w:left="0" w:leftChars="0" w:firstLine="0" w:firstLineChars="0"/>
        <w:rPr>
          <w:rFonts w:hint="default"/>
        </w:rPr>
      </w:pP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二</w:t>
      </w:r>
      <w:r>
        <w:rPr>
          <w:rFonts w:hint="eastAsia"/>
          <w:lang w:eastAsia="zh-CN"/>
        </w:rPr>
        <w:t>）</w:t>
      </w:r>
      <w:r>
        <w:rPr>
          <w:rFonts w:hint="default"/>
        </w:rPr>
        <w:t>人员编制情况</w:t>
      </w:r>
    </w:p>
    <w:p w14:paraId="24F893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2024年末实有人数29人，其中事业人员27人，聘用人员2人。</w:t>
      </w:r>
    </w:p>
    <w:p w14:paraId="1E7678FD">
      <w:pPr>
        <w:pStyle w:val="3"/>
        <w:bidi w:val="0"/>
        <w:ind w:left="0" w:leftChars="0" w:firstLine="0" w:firstLineChars="0"/>
        <w:rPr>
          <w:rFonts w:hint="default"/>
        </w:rPr>
      </w:pP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三</w:t>
      </w:r>
      <w:r>
        <w:rPr>
          <w:rFonts w:hint="eastAsia"/>
          <w:lang w:eastAsia="zh-CN"/>
        </w:rPr>
        <w:t>）</w:t>
      </w:r>
      <w:r>
        <w:rPr>
          <w:rFonts w:hint="default"/>
        </w:rPr>
        <w:t>主要职能职责</w:t>
      </w:r>
    </w:p>
    <w:p w14:paraId="094CCC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1、负责城区市容环境卫生管理工作。</w:t>
      </w:r>
    </w:p>
    <w:p w14:paraId="66760C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2、监督检查指导城区街道清扫保洁、铲除冰雪等工作。</w:t>
      </w:r>
    </w:p>
    <w:p w14:paraId="18680F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3、负责城区餐厨垃圾收运和处理。</w:t>
      </w:r>
    </w:p>
    <w:p w14:paraId="4A56AB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4、负责城区环卫基础设施的设置管理和维护。</w:t>
      </w:r>
    </w:p>
    <w:p w14:paraId="78EF23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5、负责公厕管理、垃圾、渣土及固体废弃物的收运、处理、利用等工作。</w:t>
      </w:r>
    </w:p>
    <w:p w14:paraId="600FA4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6、负责乡镇垃圾处理中心的申报、建设、管理、运营等工作。</w:t>
      </w:r>
    </w:p>
    <w:p w14:paraId="5AD350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7、负责城市生活垃圾处置费征收。</w:t>
      </w:r>
    </w:p>
    <w:p w14:paraId="617809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8、负责城区内公共绿地、生产绿地、主题公园建设的批后管理和监督检查工作。</w:t>
      </w:r>
    </w:p>
    <w:p w14:paraId="6A410E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9、负责对城区园林绿化、公园广场绿化的规划、建设、养护和监督管理。</w:t>
      </w:r>
    </w:p>
    <w:p w14:paraId="177134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10、负责对临时占用城市绿地、广场及城市树木的砍伐或迁移的批后监管和监督检查工作。</w:t>
      </w:r>
    </w:p>
    <w:p w14:paraId="4F9446A8">
      <w:pPr>
        <w:pStyle w:val="3"/>
        <w:bidi w:val="0"/>
        <w:ind w:left="0" w:leftChars="0" w:firstLine="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（四）</w:t>
      </w:r>
      <w:r>
        <w:rPr>
          <w:rFonts w:hint="default"/>
          <w:lang w:val="en-US" w:eastAsia="zh-CN"/>
        </w:rPr>
        <w:t>绩效目标设定情况</w:t>
      </w:r>
    </w:p>
    <w:p w14:paraId="29289D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480" w:firstLineChars="15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 xml:space="preserve">1、保障环卫所正常履行相关职责。城区道路清扫保洁实行环境卫生长效管理机制，全天候保洁，垃圾日产日清，绿化养护标准化，无损绿毁绿现象，环卫设施确保正常运行。 </w:t>
      </w:r>
    </w:p>
    <w:p w14:paraId="330A1B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480" w:firstLineChars="15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2、指导农村生活垃圾清运工作。</w:t>
      </w:r>
    </w:p>
    <w:p w14:paraId="4030E2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480" w:firstLineChars="15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3、逐步开展垃圾分类工作。</w:t>
      </w:r>
    </w:p>
    <w:p w14:paraId="7B029C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480" w:firstLineChars="150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4、保证人员经费正常发放。</w:t>
      </w:r>
    </w:p>
    <w:p w14:paraId="48A7AF00">
      <w:pPr>
        <w:pStyle w:val="2"/>
        <w:bidi w:val="0"/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二、一般公共预算支出情况</w:t>
      </w:r>
    </w:p>
    <w:p w14:paraId="6EDE75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根据《会计法》《预算法》《行政单位财务规则》等法律和财政部及省财政厅有关财务规章的规定，明确了经费审批权限及程序，经费预算管理、财务经费管理、资产购置与处置、财务监督等。针对“三公”经费探索建立公用经费标准定额体系，开展公用经费使用监督和绩效评估，进一步落实厉行节约的各项规定，确保“三公经费”使用合理合规等。上述制度规定基本执行到位。</w:t>
      </w:r>
    </w:p>
    <w:p w14:paraId="1CB009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2024年决算支出3753.17万元，其中：基本支出555.81万元，项目支出3197.36万元。</w:t>
      </w:r>
    </w:p>
    <w:p w14:paraId="554F7F10">
      <w:pPr>
        <w:pStyle w:val="4"/>
        <w:numPr>
          <w:ilvl w:val="0"/>
          <w:numId w:val="2"/>
        </w:numPr>
        <w:bidi w:val="0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基本支出情况</w:t>
      </w:r>
    </w:p>
    <w:p w14:paraId="1A2449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基本支出用于为保障各部门、机构正常运转、完成日常工作任务而发生的支出，包括人员经费和公用经费。</w:t>
      </w:r>
    </w:p>
    <w:p w14:paraId="6A6A39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2024年全年基本支出555.81万元，其中：工资福利支出411.23万元、商品和服务支出34.72万元、对个人和家庭的补助105.84万元、债务利息及费用支出0万元、资本性支出4.01万元、其他支出0万元。</w:t>
      </w:r>
    </w:p>
    <w:p w14:paraId="3EBC5F3B">
      <w:pPr>
        <w:pStyle w:val="4"/>
        <w:numPr>
          <w:ilvl w:val="0"/>
          <w:numId w:val="2"/>
        </w:numPr>
        <w:bidi w:val="0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项目支出情况</w:t>
      </w:r>
    </w:p>
    <w:p w14:paraId="716FC26D">
      <w:pPr>
        <w:keepNext w:val="0"/>
        <w:keepLines w:val="0"/>
        <w:widowControl w:val="0"/>
        <w:suppressLineNumbers w:val="0"/>
        <w:spacing w:before="0" w:beforeLines="0" w:beforeAutospacing="0" w:after="0" w:afterLines="0" w:afterAutospacing="0" w:line="600" w:lineRule="exact"/>
        <w:ind w:left="0" w:right="0" w:firstLine="640" w:firstLineChars="200"/>
        <w:jc w:val="both"/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Calibri" w:eastAsia="仿宋_GB2312" w:cs="仿宋_GB2312"/>
          <w:kern w:val="2"/>
          <w:sz w:val="32"/>
          <w:szCs w:val="32"/>
          <w:lang w:val="en-US" w:eastAsia="zh-CN" w:bidi="ar"/>
        </w:rPr>
        <w:t>项目支出是在基本支出之外为完成其特定的工作任务而发生的支出，主要用于专项工作的运转和设备升级等。</w:t>
      </w:r>
    </w:p>
    <w:p w14:paraId="03CA70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2024年项目经费支出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3197.36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万元，其中：保洁358万元，环卫车运行经费195万元，两厂片区环卫绿化外包及管理费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662万元。</w:t>
      </w:r>
    </w:p>
    <w:p w14:paraId="316DA96E">
      <w:pPr>
        <w:pStyle w:val="4"/>
        <w:numPr>
          <w:ilvl w:val="0"/>
          <w:numId w:val="2"/>
        </w:numPr>
        <w:bidi w:val="0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“三公”经费的使用和管理情况</w:t>
      </w:r>
    </w:p>
    <w:p w14:paraId="4E314A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我单位2024年严格贯彻中央八项规定精神，厉行节约。“三公”经费的使用严格按照文件范围执行，财务人员严把票据审核的关卡，确保资金的合理使用。2024年初财政批复局机关“三公”经费预算数为0万元，其中：公务接待费0万元、因公出国（境）费用0万元、公务用车购置及运行费0万元。全年决算单位支出“三公”经费为0万元，其中：公务接待费0万元、因公出国（境）费用0万元、公务用车购置及运行费0万元。</w:t>
      </w:r>
    </w:p>
    <w:p w14:paraId="5482D21B">
      <w:pPr>
        <w:pStyle w:val="2"/>
        <w:bidi w:val="0"/>
        <w:ind w:left="0" w:leftChars="0" w:firstLine="0" w:firstLineChars="0"/>
        <w:rPr>
          <w:rFonts w:hint="eastAsia"/>
        </w:rPr>
      </w:pPr>
      <w:r>
        <w:rPr>
          <w:rFonts w:hint="eastAsia"/>
        </w:rPr>
        <w:t>三、政府性基金预算支出情况</w:t>
      </w:r>
    </w:p>
    <w:p w14:paraId="2CE50701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640" w:firstLineChars="200"/>
        <w:textAlignment w:val="auto"/>
        <w:rPr>
          <w:rFonts w:hint="eastAsia" w:asci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2024年本单位无政府性基金预算支出。</w:t>
      </w:r>
    </w:p>
    <w:p w14:paraId="5DD9E381">
      <w:pPr>
        <w:pStyle w:val="2"/>
        <w:bidi w:val="0"/>
        <w:ind w:left="0" w:leftChars="0" w:firstLine="0" w:firstLineChars="0"/>
        <w:rPr>
          <w:rFonts w:hint="eastAsia"/>
        </w:rPr>
      </w:pPr>
      <w:r>
        <w:rPr>
          <w:rFonts w:hint="eastAsia"/>
        </w:rPr>
        <w:t>四、国有资本经营预算支出情况</w:t>
      </w:r>
    </w:p>
    <w:p w14:paraId="72D2947C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640" w:firstLineChars="200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2024年本单位无国有资本经营预算支出。</w:t>
      </w:r>
    </w:p>
    <w:p w14:paraId="429088BF">
      <w:pPr>
        <w:pStyle w:val="2"/>
        <w:bidi w:val="0"/>
        <w:ind w:left="0" w:leftChars="0" w:firstLine="0" w:firstLineChars="0"/>
        <w:rPr>
          <w:rFonts w:hint="eastAsia"/>
        </w:rPr>
      </w:pPr>
      <w:r>
        <w:rPr>
          <w:rFonts w:hint="eastAsia"/>
        </w:rPr>
        <w:t>五、社会保险基金预算支出情况</w:t>
      </w:r>
    </w:p>
    <w:p w14:paraId="397165EE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640" w:firstLineChars="200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2024年本单位无社会保险基金预算支出。</w:t>
      </w:r>
    </w:p>
    <w:p w14:paraId="16DC9A18">
      <w:pPr>
        <w:pStyle w:val="2"/>
        <w:bidi w:val="0"/>
        <w:ind w:left="0" w:leftChars="0" w:firstLine="0" w:firstLineChars="0"/>
        <w:rPr>
          <w:rFonts w:hint="eastAsia"/>
        </w:rPr>
      </w:pPr>
      <w:r>
        <w:rPr>
          <w:rFonts w:hint="eastAsia"/>
        </w:rPr>
        <w:t>六、部门整体支出绩效情况</w:t>
      </w:r>
    </w:p>
    <w:p w14:paraId="74A766DC">
      <w:pPr>
        <w:pStyle w:val="3"/>
        <w:bidi w:val="0"/>
        <w:ind w:left="0" w:leftChars="0" w:firstLine="0" w:firstLineChars="0"/>
        <w:rPr>
          <w:rFonts w:hint="default"/>
        </w:rPr>
      </w:pPr>
      <w:r>
        <w:rPr>
          <w:rFonts w:hint="default"/>
        </w:rPr>
        <w:t>（一）综合评价结论</w:t>
      </w:r>
    </w:p>
    <w:p w14:paraId="002812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default" w:asci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经自评，2024年度我单位部门整体支出绩效评价结论为“优”，自查评分为100分。</w:t>
      </w:r>
    </w:p>
    <w:p w14:paraId="0BE94D4E">
      <w:pPr>
        <w:pStyle w:val="3"/>
        <w:bidi w:val="0"/>
        <w:ind w:left="0" w:leftChars="0" w:firstLine="0" w:firstLineChars="0"/>
        <w:rPr>
          <w:rFonts w:hint="default"/>
        </w:rPr>
      </w:pPr>
      <w:r>
        <w:rPr>
          <w:rFonts w:hint="default"/>
        </w:rPr>
        <w:t>（二）评价指标分析</w:t>
      </w:r>
    </w:p>
    <w:p w14:paraId="539CAF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00" w:lineRule="atLeast"/>
        <w:ind w:right="-105" w:rightChars="-5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1、产出指标情况分析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。产出目标主要是从部门履职方面进行分析，总分值为50分，评价得分50分，得分率100%。</w:t>
      </w:r>
    </w:p>
    <w:p w14:paraId="7B1AFB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（一）数量指标</w:t>
      </w:r>
    </w:p>
    <w:p w14:paraId="090A9C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283" w:firstLineChars="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（1）抗冻救灾工作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：累计出动抢险人员1300余人次，出动装载车、运输车等各类设备2400台次，处理倒树危树68余棵，清理断枝2.4万余根。</w:t>
      </w:r>
    </w:p>
    <w:p w14:paraId="679635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283" w:firstLineChars="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（2）支援平江抗洪工作：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调配2台洒水车、1台垃圾压缩车以及9名工作人员，冲洗3条主干道、6条背街小巷，近1.2万平方米的路面得到冲洗，约20吨垃圾被清运。</w:t>
      </w:r>
    </w:p>
    <w:p w14:paraId="6D31B1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283" w:firstLineChars="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（3）清扫清运工作：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对现有33条清扫路段、59.91万m清扫面积进行调整；城区范围92个二分类果皮箱、45张垃圾板车、36个垃圾桶、72个移动箱实行全天4次定时收集；截止12月底累计清运垃圾约3.24万吨，派出垃圾车辆3600辆。</w:t>
      </w:r>
    </w:p>
    <w:p w14:paraId="3366BA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283" w:firstLineChars="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（4）绿化管养工作：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补植樟树、桂花树、银杏、乔木48株，投入化肥4吨，清除杂草、草坪、灌木等园林垃圾及白色垃圾约19吨；灾后完成行道树补植86株、灌木补植1800余平方；病虫害防治花费11000余元。</w:t>
      </w:r>
    </w:p>
    <w:p w14:paraId="72E599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283" w:firstLineChars="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（5）公园管理工作：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水上公园补植草皮600平方米，绿化抗旱、湿水90余次；累计维修健身器30余次，更换公厕设施75次，维修路灯20余次；更换水上公园救生圈10个，设置温馨告示牌30块。</w:t>
      </w:r>
    </w:p>
    <w:p w14:paraId="3ADBB7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283" w:firstLineChars="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（6）垃圾分类工作：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正式启动小型家庭厨余垃圾运营工作，确定了32处家庭厨余投放点位。</w:t>
      </w:r>
    </w:p>
    <w:p w14:paraId="09E6F3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（二）质量指标</w:t>
      </w:r>
    </w:p>
    <w:p w14:paraId="7A646B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283" w:firstLineChars="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（1）抗冻救灾工作：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清理倒树断枝后，城区道路已基本畅通，安全隐患消除。</w:t>
      </w:r>
    </w:p>
    <w:p w14:paraId="46D58F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283" w:firstLineChars="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（2）清扫清运工作：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主次干道实行早普扫，全天候巡回保洁作业模式；对步行街、广场等人流量大路段延长清扫保洁时间至晚上8点半，城区清扫保洁质量有明显提升；中转站一压缩一清洗，不留过夜垃圾，垃圾日产日清；公厕定时清洗，对损坏设施及时修复，确保卫生达标、设施完善。</w:t>
      </w:r>
    </w:p>
    <w:p w14:paraId="59CABE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283" w:firstLineChars="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（3）绿化管养工作：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每周组织绿化组专业人员3名，对城区行道树分片区、分路段逐步排查，确保每棵行道树进行了4次彻底除虫3次施肥，有效保护了城区绿化树木的健康生长；绿化管理人员通过业务培训和参观学习，不断提高管理技能。</w:t>
      </w:r>
    </w:p>
    <w:p w14:paraId="1AF6A0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283" w:firstLineChars="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（4）智慧城管工作：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截止目前共计完成智慧城管派单1300余件，处理完成1280余件，完成率达98%。</w:t>
      </w:r>
    </w:p>
    <w:p w14:paraId="283105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283" w:firstLineChars="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（5）垃圾分类工作：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制定了《云溪区2024年城市生活垃圾分类工作实施方案》《岳阳市云溪区城市生活垃圾分类工作评估办法》及《云溪区2024年城市生活垃圾分类工作操作细则》；全年垃圾分类工作目标基本完成。</w:t>
      </w:r>
    </w:p>
    <w:p w14:paraId="158F0A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283" w:firstLineChars="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（6）公园管理工作：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安排专人负责长炼水上公园、一工区游园、云龙公园的日常管理工作，确保公园卫生整洁；张贴公园管理制度、游园须知30余块，引导市民文明游园。</w:t>
      </w:r>
    </w:p>
    <w:p w14:paraId="4A682C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（三）时效指标</w:t>
      </w:r>
    </w:p>
    <w:p w14:paraId="31A877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283" w:firstLineChars="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（1）抗冻救灾工作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：2月3日起启动，2月9日城区道路已基本畅通，2月10日开始清理路面碎枝和推雪，城区范围内倒树断枝的清理工作基本全部完成。</w:t>
      </w:r>
    </w:p>
    <w:p w14:paraId="1EC1B1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283" w:firstLineChars="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（2）清扫清运工作：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垃圾收运实行全天4次定时收集，针对重点路段、小区根据实际情况增加收运频次，确保生活垃圾即产即清；城乡结合部环境整治及时开展。</w:t>
      </w:r>
    </w:p>
    <w:p w14:paraId="322E66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283" w:firstLineChars="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（3）道路扬尘治理：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城区范围内洒水作业在一天3趟的基础上增加晚上一趟，炮雾作业，道路清洗实行循环洗路，确保道路湿润。</w:t>
      </w:r>
    </w:p>
    <w:p w14:paraId="5BC870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283" w:firstLineChars="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（4）灾后绿化修复：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抓住春季有利造林时机，即时开展补植补造。</w:t>
      </w:r>
    </w:p>
    <w:p w14:paraId="471CF7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283" w:firstLineChars="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（5）垃圾分类工作：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组织开展了市级垃圾分类宣传周、垃圾分类知识竞赛、区级“岳分类岳美好”、垃圾分类工作集中培训等活动，高效推进工作。</w:t>
      </w:r>
    </w:p>
    <w:p w14:paraId="617400F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2、效益指标情况分析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。效益目标主要是从社会、经济、生态三个方面进行分析，总分值为40分，评价得分40分，得分率100%。</w:t>
      </w:r>
    </w:p>
    <w:p w14:paraId="0C32EBA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420" w:firstLineChars="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经济效益：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提供就业岗位80余个。</w:t>
      </w:r>
    </w:p>
    <w:p w14:paraId="051F1FB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420" w:firstLineChars="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社会效益：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显著提升市民生活质量和公共安全。抗冻救灾工作保障了交通畅通、行人出行安全；支援平江抗洪工作获得《抗击2024平江特大洪水突出贡献单位》荣誉，彰显社会责任；迎接检查评估工作以良好的环境卫生面貌展示城市风采；公园管理加强安全巡查，维修设施、设置告示牌、建设护坡墙，杜决发生山体滑坡安全事件；垃圾分类宣传和知识竞赛活动提高市民环保意识，引导文明行为。</w:t>
      </w:r>
    </w:p>
    <w:p w14:paraId="7B71494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​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生态效益：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有效保护环境和促进可持续发展。道路扬尘治理减轻道路扬尘污染，改善空气质量；绿化管养进行病虫害防治和灾后修复，保护城区绿化树木健康生长；垃圾分类工作启动厨余垃圾运营，建立监督机制，减少环境污染；公园管理补植草皮和绿化湿水，提升公园绿化景观，维护生态平衡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。</w:t>
      </w:r>
    </w:p>
    <w:p w14:paraId="40EC5E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3、社会公众或服务对象满意度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。社会公众或服务对象满意度主要是从群众满意度进行分析，总分值为10分，评价得分10分，得分率100%</w:t>
      </w:r>
    </w:p>
    <w:p w14:paraId="2F3D3F77">
      <w:pPr>
        <w:pStyle w:val="2"/>
        <w:bidi w:val="0"/>
        <w:ind w:left="0" w:leftChars="0" w:firstLine="0" w:firstLineChars="0"/>
        <w:rPr>
          <w:rFonts w:hint="eastAsia"/>
        </w:rPr>
      </w:pPr>
      <w:r>
        <w:rPr>
          <w:rFonts w:hint="eastAsia"/>
        </w:rPr>
        <w:t>七、存在的问题及原因分析</w:t>
      </w:r>
    </w:p>
    <w:p w14:paraId="42AC8B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320" w:firstLineChars="1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2024年我单位无预算支出执行偏离绩效目标的情况。</w:t>
      </w:r>
    </w:p>
    <w:p w14:paraId="14BB16CA">
      <w:pPr>
        <w:pStyle w:val="2"/>
        <w:bidi w:val="0"/>
        <w:ind w:left="0" w:leftChars="0" w:firstLine="0" w:firstLineChars="0"/>
        <w:rPr>
          <w:rFonts w:hint="eastAsia"/>
        </w:rPr>
      </w:pPr>
      <w:r>
        <w:rPr>
          <w:rFonts w:hint="eastAsia"/>
        </w:rPr>
        <w:t>八、下一步改进措施</w:t>
      </w:r>
    </w:p>
    <w:p w14:paraId="6711FF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320" w:firstLineChars="1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无。</w:t>
      </w:r>
    </w:p>
    <w:p w14:paraId="29FFB9A1">
      <w:pPr>
        <w:pStyle w:val="2"/>
        <w:bidi w:val="0"/>
        <w:ind w:left="0" w:leftChars="0" w:firstLine="0" w:firstLineChars="0"/>
        <w:rPr>
          <w:rFonts w:hint="eastAsia"/>
          <w:lang w:val="en-US" w:eastAsia="en-US"/>
        </w:rPr>
      </w:pPr>
      <w:r>
        <w:rPr>
          <w:rFonts w:hint="eastAsia"/>
          <w:lang w:val="en-US" w:eastAsia="en-US"/>
        </w:rPr>
        <w:t>九、其他需要说明的情况</w:t>
      </w:r>
    </w:p>
    <w:p w14:paraId="5B36BF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320" w:firstLineChars="1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bookmarkStart w:id="0" w:name="_GoBack"/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无。</w:t>
      </w:r>
    </w:p>
    <w:bookmarkEnd w:id="0"/>
    <w:p w14:paraId="5810936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05AA26">
    <w:pPr>
      <w:pStyle w:val="5"/>
      <w:framePr w:wrap="around" w:vAnchor="text" w:hAnchor="margin" w:xAlign="outside" w:y="1"/>
      <w:rPr>
        <w:rStyle w:val="10"/>
        <w:sz w:val="24"/>
        <w:szCs w:val="24"/>
      </w:rPr>
    </w:pPr>
    <w:r>
      <w:rPr>
        <w:rStyle w:val="10"/>
        <w:rFonts w:hint="eastAsia"/>
        <w:sz w:val="24"/>
        <w:szCs w:val="24"/>
      </w:rPr>
      <w:t xml:space="preserve">— </w:t>
    </w:r>
    <w:r>
      <w:rPr>
        <w:sz w:val="24"/>
        <w:szCs w:val="24"/>
      </w:rPr>
      <w:fldChar w:fldCharType="begin"/>
    </w:r>
    <w:r>
      <w:rPr>
        <w:rStyle w:val="10"/>
        <w:sz w:val="24"/>
        <w:szCs w:val="24"/>
      </w:rPr>
      <w:instrText xml:space="preserve">PAGE  </w:instrText>
    </w:r>
    <w:r>
      <w:rPr>
        <w:sz w:val="24"/>
        <w:szCs w:val="24"/>
      </w:rPr>
      <w:fldChar w:fldCharType="separate"/>
    </w:r>
    <w:r>
      <w:rPr>
        <w:rStyle w:val="10"/>
        <w:sz w:val="24"/>
        <w:szCs w:val="24"/>
      </w:rPr>
      <w:t>2</w:t>
    </w:r>
    <w:r>
      <w:rPr>
        <w:sz w:val="24"/>
        <w:szCs w:val="24"/>
      </w:rPr>
      <w:fldChar w:fldCharType="end"/>
    </w:r>
    <w:r>
      <w:rPr>
        <w:rStyle w:val="10"/>
        <w:rFonts w:hint="eastAsia"/>
        <w:sz w:val="24"/>
        <w:szCs w:val="24"/>
      </w:rPr>
      <w:t xml:space="preserve"> —</w:t>
    </w:r>
  </w:p>
  <w:p w14:paraId="60B7B681">
    <w:pPr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693CFD">
    <w:pPr>
      <w:framePr w:wrap="around" w:vAnchor="text" w:hAnchor="margin" w:xAlign="outside" w:y="1"/>
    </w:pPr>
    <w:r>
      <w:fldChar w:fldCharType="begin"/>
    </w:r>
    <w:r>
      <w:instrText xml:space="preserve">PAGE  </w:instrText>
    </w:r>
    <w:r>
      <w:fldChar w:fldCharType="separate"/>
    </w:r>
    <w:r>
      <w:t>- 15 -</w:t>
    </w:r>
    <w:r>
      <w:fldChar w:fldCharType="end"/>
    </w:r>
  </w:p>
  <w:p w14:paraId="2AFBA993">
    <w:pPr>
      <w:ind w:right="360" w:firstLine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87498EA"/>
    <w:multiLevelType w:val="singleLevel"/>
    <w:tmpl w:val="387498EA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45112FE9"/>
    <w:multiLevelType w:val="singleLevel"/>
    <w:tmpl w:val="45112FE9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zNjBkOTgyNWQ1YTMxYzM3MzMwNWFiODNmOWIzYWMifQ=="/>
  </w:docVars>
  <w:rsids>
    <w:rsidRoot w:val="00000000"/>
    <w:rsid w:val="03AA1A5C"/>
    <w:rsid w:val="04842AA6"/>
    <w:rsid w:val="0BDA33E6"/>
    <w:rsid w:val="0D187019"/>
    <w:rsid w:val="0DF76096"/>
    <w:rsid w:val="122049AD"/>
    <w:rsid w:val="123A47A4"/>
    <w:rsid w:val="165C4210"/>
    <w:rsid w:val="16D90FC4"/>
    <w:rsid w:val="17045380"/>
    <w:rsid w:val="186A0D56"/>
    <w:rsid w:val="1AC94917"/>
    <w:rsid w:val="1D470521"/>
    <w:rsid w:val="2AB54840"/>
    <w:rsid w:val="2DD67B47"/>
    <w:rsid w:val="321B46F1"/>
    <w:rsid w:val="41203882"/>
    <w:rsid w:val="41B03D78"/>
    <w:rsid w:val="42075CA8"/>
    <w:rsid w:val="45795F75"/>
    <w:rsid w:val="47032761"/>
    <w:rsid w:val="4E31083E"/>
    <w:rsid w:val="4E8B1F67"/>
    <w:rsid w:val="503E4E84"/>
    <w:rsid w:val="51AA1643"/>
    <w:rsid w:val="54C677E2"/>
    <w:rsid w:val="596423C7"/>
    <w:rsid w:val="5B372BFB"/>
    <w:rsid w:val="5CC772D2"/>
    <w:rsid w:val="5CF76AE6"/>
    <w:rsid w:val="5E8E4CC1"/>
    <w:rsid w:val="6031230F"/>
    <w:rsid w:val="61E80BFB"/>
    <w:rsid w:val="624A5785"/>
    <w:rsid w:val="624F2C18"/>
    <w:rsid w:val="63660064"/>
    <w:rsid w:val="63E53BC8"/>
    <w:rsid w:val="64673F7C"/>
    <w:rsid w:val="6B38404F"/>
    <w:rsid w:val="6C0E05F6"/>
    <w:rsid w:val="6C627CF4"/>
    <w:rsid w:val="6E076DA5"/>
    <w:rsid w:val="6E1076CA"/>
    <w:rsid w:val="73C70602"/>
    <w:rsid w:val="7AAC2882"/>
    <w:rsid w:val="7B790FE8"/>
    <w:rsid w:val="7C582B10"/>
    <w:rsid w:val="7DED5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Lines="0" w:beforeAutospacing="0" w:afterLines="0" w:afterAutospacing="0" w:line="560" w:lineRule="exact"/>
      <w:ind w:firstLine="640" w:firstLineChars="200"/>
      <w:outlineLvl w:val="0"/>
    </w:pPr>
    <w:rPr>
      <w:rFonts w:eastAsia="黑体" w:asciiTheme="minorAscii" w:hAnsiTheme="minorAscii"/>
      <w:b/>
      <w:kern w:val="44"/>
      <w:sz w:val="32"/>
    </w:rPr>
  </w:style>
  <w:style w:type="paragraph" w:styleId="3">
    <w:name w:val="heading 2"/>
    <w:basedOn w:val="1"/>
    <w:next w:val="1"/>
    <w:autoRedefine/>
    <w:unhideWhenUsed/>
    <w:qFormat/>
    <w:uiPriority w:val="0"/>
    <w:pPr>
      <w:keepNext/>
      <w:keepLines/>
      <w:spacing w:line="560" w:lineRule="exact"/>
      <w:ind w:firstLine="200" w:firstLineChars="200"/>
      <w:outlineLvl w:val="1"/>
    </w:pPr>
    <w:rPr>
      <w:rFonts w:eastAsia="楷体_GB2312" w:asciiTheme="majorAscii" w:hAnsiTheme="majorAscii" w:cstheme="majorBidi"/>
      <w:b/>
      <w:bCs/>
      <w:sz w:val="32"/>
      <w:szCs w:val="32"/>
    </w:rPr>
  </w:style>
  <w:style w:type="paragraph" w:styleId="4">
    <w:name w:val="heading 3"/>
    <w:basedOn w:val="1"/>
    <w:next w:val="1"/>
    <w:autoRedefine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640" w:firstLineChars="200"/>
      <w:outlineLvl w:val="2"/>
    </w:pPr>
    <w:rPr>
      <w:rFonts w:eastAsia="仿宋_GB2312" w:asciiTheme="minorAscii" w:hAnsiTheme="minorAscii"/>
      <w:sz w:val="32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6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page number"/>
    <w:autoRedefine/>
    <w:qFormat/>
    <w:uiPriority w:val="0"/>
  </w:style>
  <w:style w:type="paragraph" w:customStyle="1" w:styleId="11">
    <w:name w:val="BodyText1I2"/>
    <w:basedOn w:val="12"/>
    <w:autoRedefine/>
    <w:qFormat/>
    <w:uiPriority w:val="0"/>
    <w:pPr>
      <w:spacing w:before="100" w:beforeAutospacing="1" w:after="0"/>
      <w:ind w:left="0" w:firstLine="420" w:firstLineChars="200"/>
    </w:pPr>
    <w:rPr>
      <w:rFonts w:ascii="Calibri" w:hAnsi="Calibri"/>
    </w:rPr>
  </w:style>
  <w:style w:type="paragraph" w:customStyle="1" w:styleId="12">
    <w:name w:val="BodyTextIndent"/>
    <w:basedOn w:val="1"/>
    <w:autoRedefine/>
    <w:qFormat/>
    <w:uiPriority w:val="0"/>
    <w:pPr>
      <w:spacing w:after="120"/>
      <w:ind w:left="420" w:leftChars="200"/>
    </w:pPr>
  </w:style>
  <w:style w:type="paragraph" w:customStyle="1" w:styleId="13">
    <w:name w:val="BodyText1I"/>
    <w:basedOn w:val="1"/>
    <w:autoRedefine/>
    <w:qFormat/>
    <w:uiPriority w:val="99"/>
    <w:pPr>
      <w:snapToGrid w:val="0"/>
      <w:spacing w:line="360" w:lineRule="auto"/>
      <w:ind w:firstLine="420" w:firstLineChars="100"/>
    </w:pPr>
    <w:rPr>
      <w:sz w:val="28"/>
      <w:szCs w:val="20"/>
    </w:rPr>
  </w:style>
  <w:style w:type="paragraph" w:customStyle="1" w:styleId="14">
    <w:name w:val="标题1"/>
    <w:basedOn w:val="3"/>
    <w:autoRedefine/>
    <w:qFormat/>
    <w:uiPriority w:val="0"/>
    <w:rPr>
      <w:rFonts w:eastAsia="黑体"/>
    </w:rPr>
  </w:style>
  <w:style w:type="paragraph" w:customStyle="1" w:styleId="15">
    <w:name w:val="List Paragraph_a0f507d5-6e28-4914-b37f-020b7d2b0f7c"/>
    <w:basedOn w:val="1"/>
    <w:autoRedefine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3636</Words>
  <Characters>4048</Characters>
  <Lines>1</Lines>
  <Paragraphs>1</Paragraphs>
  <TotalTime>2</TotalTime>
  <ScaleCrop>false</ScaleCrop>
  <LinksUpToDate>false</LinksUpToDate>
  <CharactersWithSpaces>4524</CharactersWithSpaces>
  <Application>WPS Office_12.1.0.21539_F1E327BC-269C-435d-A152-05C5408002CA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2024-05-20T07:10:00Z</dcterms:created>
  <dc:creator>HNBS-WORKER3</dc:creator>
  <cp:lastModifiedBy>XIE</cp:lastModifiedBy>
  <dcterms:modified xsi:type="dcterms:W3CDTF">2025-06-25T16:54:20Z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2052-12.1.0.21539</vt:lpwstr>
  </property>
  <property fmtid="{D5CDD505-2E9C-101B-9397-08002B2CF9AE}" pid="3" name="ICV">
    <vt:lpwstr>2EACD47548BD4DE7A4D66C6CD41716BF_13</vt:lpwstr>
  </property>
  <property fmtid="{D5CDD505-2E9C-101B-9397-08002B2CF9AE}" pid="4" name="KSOTemplateDocerSaveRecord">
    <vt:lpwstr>eyJoZGlkIjoiODdmMjMwZDBjZDIzNmYzMjVlZWYwYjYxYjQyNjJhMmYiLCJ1c2VySWQiOiIxMTU1MzM3MzE4In0=</vt:lpwstr>
  </property>
</Properties>
</file>