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382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hint="eastAsia" w:ascii="Times New Roman" w:hAnsi="Times New Roman" w:eastAsia="宋体" w:cs="Times New Roman"/>
          <w:spacing w:val="0"/>
          <w:sz w:val="35"/>
          <w:szCs w:val="35"/>
          <w:lang w:eastAsia="zh-CN"/>
        </w:rPr>
        <w:t>　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年度部门整体支出绩效评价基础数据表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</w:rPr>
      </w:pPr>
    </w:p>
    <w:tbl>
      <w:tblPr>
        <w:tblStyle w:val="6"/>
        <w:tblW w:w="9504" w:type="dxa"/>
        <w:tblInd w:w="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4"/>
        <w:gridCol w:w="1188"/>
        <w:gridCol w:w="849"/>
        <w:gridCol w:w="1128"/>
        <w:gridCol w:w="1110"/>
        <w:gridCol w:w="1081"/>
        <w:gridCol w:w="9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85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财政供养人员情况（人）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2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编制数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9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年实际在职人数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2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控制率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129.51%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8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经费控制情况（万元）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3</w:t>
            </w:r>
            <w:r>
              <w:rPr>
                <w:b/>
                <w:bCs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年决算数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9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b/>
                <w:bCs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年预算数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0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0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三公经费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: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3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、公务用车购置和维护经费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其中：公车购置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公车运行维护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、出国经费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、公务接待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项目支出：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853.9804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853.9804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、业务工作经费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、运行维护经费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、省级专项资金（每个专项一行）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853.9804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853.9804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管理经费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基层行政单位工作经费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国有企业办公共服务机构移交补助支出经费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17.4804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17.4804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国有企业退休人员社会化管理补助支出经费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陆城镇信访维稳经费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公共图书馆、美术馆、文化馆（站）免费开放经费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文化事业和文化产业发展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香铺村周家垅组道路拓宽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美丽乡村建设资金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村级（社区）组织运转经费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164.5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彩票公益金支持乡村经济发展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农村综合改革转移支付公益事业奖补资金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陆城镇乡村基础设施维护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公用经费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181.97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250.03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其中：办公经费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84.72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95.3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水费、电费、差旅费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20.68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会议费、培训费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政府采购金额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4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部门基本支出预算调整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4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18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8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楼堂馆所控制情况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5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年完工项目）</w:t>
            </w: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0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9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pacing w:val="0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）</w:t>
            </w:r>
          </w:p>
        </w:tc>
        <w:tc>
          <w:tcPr>
            <w:tcW w:w="8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"/>
              <w:jc w:val="right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模（</w:t>
            </w:r>
            <w:r>
              <w:rPr>
                <w:rFonts w:ascii="宋体" w:hAnsi="宋体" w:eastAsia="宋体" w:cs="宋体"/>
                <w:spacing w:val="0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）</w:t>
            </w:r>
          </w:p>
        </w:tc>
        <w:tc>
          <w:tcPr>
            <w:tcW w:w="11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规模控制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7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率</w:t>
            </w:r>
          </w:p>
        </w:tc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（万元）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实际投资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（万元）</w:t>
            </w: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9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18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8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厉行节约保障措施</w:t>
            </w:r>
          </w:p>
        </w:tc>
        <w:tc>
          <w:tcPr>
            <w:tcW w:w="6320" w:type="dxa"/>
            <w:gridSpan w:val="6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86"/>
        <w:textAlignment w:val="baseline"/>
        <w:rPr>
          <w:spacing w:val="0"/>
          <w:position w:val="13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86"/>
        <w:textAlignment w:val="baseline"/>
        <w:rPr>
          <w:spacing w:val="0"/>
          <w:sz w:val="22"/>
          <w:szCs w:val="22"/>
        </w:rPr>
      </w:pPr>
      <w:r>
        <w:rPr>
          <w:spacing w:val="0"/>
          <w:position w:val="13"/>
          <w:sz w:val="22"/>
          <w:szCs w:val="22"/>
        </w:rPr>
        <w:t>说明：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“</w:t>
      </w:r>
      <w:r>
        <w:rPr>
          <w:spacing w:val="0"/>
          <w:position w:val="13"/>
          <w:sz w:val="22"/>
          <w:szCs w:val="22"/>
        </w:rPr>
        <w:t>项目支出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 xml:space="preserve">” </w:t>
      </w:r>
      <w:r>
        <w:rPr>
          <w:spacing w:val="0"/>
          <w:position w:val="13"/>
          <w:sz w:val="22"/>
          <w:szCs w:val="22"/>
        </w:rPr>
        <w:t>需要填报基本支出以外的所有项目支出情况，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“</w:t>
      </w:r>
      <w:r>
        <w:rPr>
          <w:spacing w:val="0"/>
          <w:position w:val="13"/>
          <w:sz w:val="22"/>
          <w:szCs w:val="22"/>
        </w:rPr>
        <w:t>公用经费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”</w:t>
      </w:r>
      <w:r>
        <w:rPr>
          <w:spacing w:val="0"/>
          <w:position w:val="13"/>
          <w:sz w:val="22"/>
          <w:szCs w:val="22"/>
        </w:rPr>
        <w:t>填报基本支出中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505"/>
        <w:textAlignment w:val="baseline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的一般商品和服务支出。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Arial"/>
          <w:spacing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填表人：</w:t>
      </w:r>
      <w:r>
        <w:rPr>
          <w:rFonts w:hint="eastAsia"/>
          <w:spacing w:val="0"/>
          <w:sz w:val="22"/>
          <w:szCs w:val="22"/>
          <w:lang w:val="en-US" w:eastAsia="zh-CN"/>
        </w:rPr>
        <w:t>沈煜政</w:t>
      </w:r>
      <w:r>
        <w:rPr>
          <w:spacing w:val="0"/>
          <w:sz w:val="22"/>
          <w:szCs w:val="22"/>
        </w:rPr>
        <w:t xml:space="preserve"> </w:t>
      </w:r>
      <w:r>
        <w:rPr>
          <w:rFonts w:hint="eastAsia"/>
          <w:spacing w:val="0"/>
          <w:sz w:val="22"/>
          <w:szCs w:val="22"/>
          <w:lang w:val="en-US" w:eastAsia="zh-CN"/>
        </w:rPr>
        <w:t xml:space="preserve"> </w:t>
      </w:r>
      <w:r>
        <w:rPr>
          <w:spacing w:val="0"/>
          <w:sz w:val="22"/>
          <w:szCs w:val="22"/>
        </w:rPr>
        <w:t xml:space="preserve"> 填报日期：</w:t>
      </w:r>
      <w:r>
        <w:rPr>
          <w:rFonts w:hint="eastAsia"/>
          <w:spacing w:val="0"/>
          <w:sz w:val="22"/>
          <w:szCs w:val="22"/>
          <w:lang w:val="en-US" w:eastAsia="zh-CN"/>
        </w:rPr>
        <w:t>2025.6.30</w:t>
      </w:r>
      <w:r>
        <w:rPr>
          <w:spacing w:val="0"/>
          <w:sz w:val="22"/>
          <w:szCs w:val="22"/>
        </w:rPr>
        <w:t xml:space="preserve">   联系电话：</w:t>
      </w:r>
      <w:r>
        <w:rPr>
          <w:rFonts w:hint="eastAsia"/>
          <w:spacing w:val="0"/>
          <w:sz w:val="22"/>
          <w:szCs w:val="22"/>
          <w:lang w:val="en-US" w:eastAsia="zh-CN"/>
        </w:rPr>
        <w:t>19015066009</w:t>
      </w:r>
      <w:r>
        <w:rPr>
          <w:spacing w:val="0"/>
          <w:sz w:val="22"/>
          <w:szCs w:val="22"/>
        </w:rPr>
        <w:t xml:space="preserve">   单位负责人签字：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305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年度部门整体支出绩效自评表</w:t>
      </w:r>
    </w:p>
    <w:tbl>
      <w:tblPr>
        <w:tblStyle w:val="6"/>
        <w:tblpPr w:leftFromText="180" w:rightFromText="180" w:vertAnchor="text" w:horzAnchor="page" w:tblpX="979" w:tblpY="134"/>
        <w:tblOverlap w:val="never"/>
        <w:tblW w:w="98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047"/>
        <w:gridCol w:w="1007"/>
        <w:gridCol w:w="1232"/>
        <w:gridCol w:w="1271"/>
        <w:gridCol w:w="1147"/>
        <w:gridCol w:w="1188"/>
        <w:gridCol w:w="438"/>
        <w:gridCol w:w="14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预算部门、单位名称</w:t>
            </w:r>
          </w:p>
        </w:tc>
        <w:tc>
          <w:tcPr>
            <w:tcW w:w="6693" w:type="dxa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岳阳市云溪区陆城镇人民政府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restart"/>
            <w:tcBorders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4" w:right="144" w:firstLine="104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年度预  算申请  （万元）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年初预算数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全年预算数</w:t>
            </w:r>
          </w:p>
        </w:tc>
        <w:tc>
          <w:tcPr>
            <w:tcW w:w="11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全年执行数</w:t>
            </w:r>
          </w:p>
        </w:tc>
        <w:tc>
          <w:tcPr>
            <w:tcW w:w="11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分值</w:t>
            </w:r>
          </w:p>
        </w:tc>
        <w:tc>
          <w:tcPr>
            <w:tcW w:w="4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执行率</w:t>
            </w:r>
          </w:p>
        </w:tc>
        <w:tc>
          <w:tcPr>
            <w:tcW w:w="14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3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年度资金总额</w:t>
            </w:r>
          </w:p>
        </w:tc>
        <w:tc>
          <w:tcPr>
            <w:tcW w:w="123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1211.57</w:t>
            </w:r>
          </w:p>
        </w:tc>
        <w:tc>
          <w:tcPr>
            <w:tcW w:w="12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2269.63</w:t>
            </w:r>
          </w:p>
        </w:tc>
        <w:tc>
          <w:tcPr>
            <w:tcW w:w="11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2269.63</w:t>
            </w:r>
          </w:p>
        </w:tc>
        <w:tc>
          <w:tcPr>
            <w:tcW w:w="11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4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按收入性质分：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按支出性质分：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12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  一般公共预算：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1884.15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其中：基本支出：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1415.65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16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政府性基金拨款：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360.00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717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853.98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纳入专户管理的非税收入拨款：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0.0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12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其他资金：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25.48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208" w:rightChars="0" w:hanging="232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208" w:rightChars="0" w:hanging="232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  <w:t>目标</w:t>
            </w:r>
          </w:p>
        </w:tc>
        <w:tc>
          <w:tcPr>
            <w:tcW w:w="4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59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预期目标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67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1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557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  <w:t>1.保证乡镇运转，发展乡镇经济；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  <w:t>2.建设和管理基础设施和公用设施；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  <w:t>3.改善乡镇基本民生，加强社会管理；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  <w:t>4.提升基层文化建设和生态环境建设。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  <w:t>1.乡镇正常运转，乡镇经济加速发展；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  <w:t>2.基础设施和公用设施不断完善；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  <w:t>3.乡镇基本民生大幅度改善，社会稳定；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  <w:t>4.基层文化建设和生态环境建设得到提高。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31" w:type="dxa"/>
            <w:vMerge w:val="restart"/>
            <w:tcBorders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168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绩效指标</w:t>
            </w:r>
          </w:p>
        </w:tc>
        <w:tc>
          <w:tcPr>
            <w:tcW w:w="104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一级指标</w:t>
            </w:r>
          </w:p>
        </w:tc>
        <w:tc>
          <w:tcPr>
            <w:tcW w:w="100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2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二级指标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3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三级指标</w:t>
            </w: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4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年度指标值</w:t>
            </w: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实际完成值</w:t>
            </w:r>
          </w:p>
        </w:tc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4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0"/>
              <w:jc w:val="center"/>
              <w:textAlignment w:val="baseline"/>
              <w:rPr>
                <w:rFonts w:ascii="仿宋" w:hAnsi="仿宋" w:eastAsia="仿宋" w:cs="仿宋"/>
                <w:spacing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0"/>
                <w:sz w:val="16"/>
                <w:szCs w:val="16"/>
              </w:rPr>
              <w:t>自评得分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 w:right="109" w:firstLine="1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偏差原因分析 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4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9"/>
                <w:sz w:val="19"/>
                <w:szCs w:val="19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2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 xml:space="preserve">(50 </w:t>
            </w:r>
            <w:r>
              <w:rPr>
                <w:rFonts w:ascii="仿宋" w:hAnsi="仿宋" w:eastAsia="仿宋" w:cs="仿宋"/>
                <w:spacing w:val="0"/>
                <w:position w:val="2"/>
                <w:sz w:val="19"/>
                <w:szCs w:val="19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>)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数量指标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预算下拨金额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1151.575446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2269.635726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预算支付进度及使用合理性，未按进度合理性支付扣分，合计20分。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质量指标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履职目标实现率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99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100%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以100%标准，目标完成度扣分，总分20分。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时效指标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预算拨付期限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本年度拨付预算金额，超时未拨付扣分，总分10分。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成本指标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不超年度预算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未超年度预算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不超过预算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预算超出数计分，合计10分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22"/>
                <w:sz w:val="19"/>
                <w:szCs w:val="19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0"/>
                <w:w w:val="10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益指标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益指标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促进社会稳定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有效促进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及时调节信访问题，社会稳定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未及时调解信访问题，出现严重上访事件记0分，信访难题调解有瑕疵，但未出现影响社会稳定现象，记10分，及时调解信访矛盾纠纷，处理以前信访难题，社会进一步稳定，记20分。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益指标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生态环境效益良好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成效明显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生态环境好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破坏生态环境程度积分，破坏严重记0分，未破坏记5分，生态环境改善记10分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7" w:right="116" w:hanging="9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可持续影 响指标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4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0"/>
                <w:w w:val="10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标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99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100%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95%含以上记10分，85%-95%记8分，75%-85%记5分，75%以下不计分，合计10分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34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总分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0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</w:tbl>
    <w:p>
      <w:pPr>
        <w:pStyle w:val="3"/>
        <w:bidi w:val="0"/>
      </w:pPr>
      <w:r>
        <w:t>填表人：</w:t>
      </w:r>
      <w:r>
        <w:rPr>
          <w:rFonts w:hint="eastAsia" w:eastAsia="宋体"/>
          <w:lang w:val="en-US" w:eastAsia="zh-CN"/>
        </w:rPr>
        <w:t xml:space="preserve">沈煜政   </w:t>
      </w:r>
      <w:r>
        <w:t xml:space="preserve"> 填报日期：</w:t>
      </w:r>
      <w:r>
        <w:rPr>
          <w:rFonts w:hint="eastAsia" w:eastAsia="宋体"/>
          <w:lang w:val="en-US" w:eastAsia="zh-CN"/>
        </w:rPr>
        <w:t>2025.6.30</w:t>
      </w:r>
      <w:r>
        <w:t xml:space="preserve">  </w:t>
      </w:r>
      <w:r>
        <w:rPr>
          <w:rFonts w:hint="eastAsia" w:eastAsia="宋体"/>
          <w:lang w:val="en-US" w:eastAsia="zh-CN"/>
        </w:rPr>
        <w:t xml:space="preserve">  </w:t>
      </w:r>
      <w:r>
        <w:t xml:space="preserve">  联系电话：</w:t>
      </w:r>
      <w:r>
        <w:rPr>
          <w:rFonts w:hint="eastAsia" w:eastAsia="宋体"/>
          <w:lang w:val="en-US" w:eastAsia="zh-CN"/>
        </w:rPr>
        <w:t>19015066009</w:t>
      </w:r>
      <w:r>
        <w:t xml:space="preserve">    </w:t>
      </w:r>
      <w:r>
        <w:rPr>
          <w:rFonts w:hint="eastAsia" w:eastAsia="宋体"/>
          <w:lang w:val="en-US" w:eastAsia="zh-CN"/>
        </w:rPr>
        <w:t xml:space="preserve"> </w:t>
      </w:r>
      <w:r>
        <w:t xml:space="preserve"> 单位负责人签字：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  <w:sz w:val="22"/>
          <w:szCs w:val="22"/>
        </w:rPr>
        <w:sectPr>
          <w:footerReference r:id="rId5" w:type="default"/>
          <w:pgSz w:w="11900" w:h="16833"/>
          <w:pgMar w:top="1399" w:right="1191" w:bottom="1445" w:left="1361" w:header="0" w:footer="1169" w:gutter="0"/>
          <w:cols w:space="720" w:num="1"/>
          <w:titlePg/>
        </w:sect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Arial" w:eastAsia="宋体"/>
          <w:spacing w:val="0"/>
          <w:sz w:val="21"/>
          <w:lang w:val="en-US" w:eastAsia="zh-CN"/>
        </w:rPr>
      </w:pPr>
      <w:bookmarkStart w:id="0" w:name="OLE_LINK4"/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5</w:t>
      </w:r>
      <w:bookmarkEnd w:id="0"/>
      <w:r>
        <w:rPr>
          <w:rFonts w:hint="eastAsia" w:ascii="Times New Roman" w:hAnsi="Times New Roman" w:eastAsia="宋体" w:cs="Times New Roman"/>
          <w:spacing w:val="0"/>
          <w:sz w:val="31"/>
          <w:szCs w:val="31"/>
          <w:lang w:val="en-US" w:eastAsia="zh-CN"/>
        </w:rPr>
        <w:t>-1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384"/>
        <w:rPr>
          <w:rFonts w:ascii="Times New Roman" w:hAnsi="Times New Roman" w:eastAsia="Times New Roman" w:cs="Times New Roman"/>
          <w:spacing w:val="0"/>
          <w:sz w:val="52"/>
          <w:szCs w:val="5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</w:pPr>
      <w:r>
        <w:rPr>
          <w:rFonts w:ascii="Times New Roman" w:hAnsi="Times New Roman" w:eastAsia="Times New Roman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0"/>
          <w:sz w:val="44"/>
          <w:szCs w:val="44"/>
          <w:lang w:val="en-US" w:eastAsia="zh-CN"/>
        </w:rPr>
        <w:t>4</w:t>
      </w:r>
      <w:r>
        <w:rPr>
          <w:rFonts w:ascii="微软雅黑" w:hAnsi="微软雅黑" w:eastAsia="微软雅黑" w:cs="微软雅黑"/>
          <w:spacing w:val="0"/>
          <w:sz w:val="44"/>
          <w:szCs w:val="44"/>
        </w:rPr>
        <w:t>年度</w:t>
      </w:r>
      <w:r>
        <w:rPr>
          <w:rFonts w:hint="eastAsia" w:ascii="微软雅黑" w:hAnsi="微软雅黑" w:eastAsia="微软雅黑" w:cs="微软雅黑"/>
          <w:spacing w:val="0"/>
          <w:sz w:val="44"/>
          <w:szCs w:val="44"/>
          <w:lang w:val="en-US" w:eastAsia="zh-CN"/>
        </w:rPr>
        <w:t>岳阳市云溪区陆城镇人民政府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微软雅黑" w:hAnsi="微软雅黑" w:eastAsia="微软雅黑" w:cs="微软雅黑"/>
          <w:spacing w:val="0"/>
          <w:sz w:val="52"/>
          <w:szCs w:val="52"/>
        </w:rPr>
      </w:pPr>
      <w:r>
        <w:rPr>
          <w:rFonts w:ascii="微软雅黑" w:hAnsi="微软雅黑" w:eastAsia="微软雅黑" w:cs="微软雅黑"/>
          <w:spacing w:val="0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1902"/>
        <w:rPr>
          <w:spacing w:val="0"/>
        </w:rPr>
      </w:pPr>
      <w:r>
        <w:rPr>
          <w:spacing w:val="0"/>
        </w:rPr>
        <w:t xml:space="preserve">部门（单位）名称： </w:t>
      </w:r>
      <w:r>
        <w:rPr>
          <w:spacing w:val="0"/>
          <w:u w:val="single" w:color="auto"/>
        </w:rPr>
        <w:t xml:space="preserve"> （盖章）        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ascii="楷体" w:hAnsi="楷体" w:eastAsia="楷体" w:cs="楷体"/>
          <w:spacing w:val="0"/>
          <w:sz w:val="31"/>
          <w:szCs w:val="31"/>
        </w:rPr>
      </w:pP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2025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年  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0"/>
          <w:sz w:val="31"/>
          <w:szCs w:val="31"/>
        </w:rPr>
        <w:t xml:space="preserve">月  </w:t>
      </w:r>
      <w:r>
        <w:rPr>
          <w:rFonts w:hint="eastAsia" w:ascii="楷体" w:hAnsi="楷体" w:eastAsia="楷体" w:cs="楷体"/>
          <w:spacing w:val="0"/>
          <w:sz w:val="31"/>
          <w:szCs w:val="31"/>
          <w:lang w:val="en-US" w:eastAsia="zh-CN"/>
        </w:rPr>
        <w:t>30</w:t>
      </w:r>
      <w:r>
        <w:rPr>
          <w:rFonts w:ascii="楷体" w:hAnsi="楷体" w:eastAsia="楷体" w:cs="楷体"/>
          <w:spacing w:val="0"/>
          <w:sz w:val="31"/>
          <w:szCs w:val="31"/>
        </w:rPr>
        <w:t>日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3216"/>
        <w:rPr>
          <w:spacing w:val="0"/>
        </w:rPr>
      </w:pPr>
      <w:r>
        <w:rPr>
          <w:spacing w:val="0"/>
        </w:rPr>
        <w:t>（此页为封面）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  <w:sectPr>
          <w:footerReference r:id="rId6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202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年度岳阳市云溪区陆城镇人民政府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部门整体支出绩效自评报告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一、部门（单位）概况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机构设置情况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岳阳市云溪区陆城镇人民政府内设机构包括：党政办公室、党建办公室、平安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法制和应急管理</w:t>
      </w:r>
      <w:r>
        <w:rPr>
          <w:rFonts w:hint="eastAsia" w:ascii="宋体" w:hAnsi="宋体" w:eastAsia="宋体" w:cs="宋体"/>
          <w:bCs/>
          <w:sz w:val="24"/>
          <w:szCs w:val="24"/>
        </w:rPr>
        <w:t>办公室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生态环境办公室</w:t>
      </w:r>
      <w:r>
        <w:rPr>
          <w:rFonts w:hint="eastAsia" w:ascii="宋体" w:hAnsi="宋体" w:eastAsia="宋体" w:cs="宋体"/>
          <w:bCs/>
          <w:sz w:val="24"/>
          <w:szCs w:val="24"/>
        </w:rPr>
        <w:t>、农业综合服务中心、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水利事务中心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社会事务综合服务中心、退役军人服务站、综合行政执法大队。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（二）人员编制情况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年末实有人数7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Cs/>
          <w:sz w:val="24"/>
          <w:szCs w:val="24"/>
        </w:rPr>
        <w:t>人，其中行政人员2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人，事业人员3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人，无编人员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4"/>
          <w:szCs w:val="24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（三）主要职能职责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加强党的建设。落实基层党建工作责任制，统筹镇和社区（村）区域化党建，加强非公有制经济组织和社会组织党建工作，实现党的组织和工作全覆盖。不断提高党的建设质量，落实管党治党责任，推动全面从严治党向基层延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2、统筹区域发展。统筹落实市、区关于辖区发展的重大决策和建设规划，负责优化发展环境、采集企业信息、服务辖区企业、促进项目发展等工作。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3、组织公共服务。组织实施与居民生活密切相关的各项公共服务事项，落实人力资源社会保障、民政、教育、科技、文化、体育、卫生健康等领域相关法规政策。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4、实施公共管理。负责辖区内城市管理等综合性管理工作，承担组织领导和综合协调职能。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5、维护公共安全。承担辖区内社会治安综合治理、应急管理等有关工作，接待群众来信来访，反映社情民意，化解矛盾纠纷等。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6、监督执法管理。对辖区内各类行政执法工作进行统筹协调，组织开展群众监督和社会监督。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7、动员社会参与。动员辖区内各类单位、社会组织、社区居民等社会力量参与社会治理，为镇发展服务。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8、保障社区（村）自治。指导社区居委会建设(村委会)健全社区（村）)自治平台，组织驻社区（村）单位和居民参与社区（村）建设、管理。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9、完成区委、区政府交办的其他任务。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二、一般公共预算支出情况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年决算支出2269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Cs/>
          <w:sz w:val="24"/>
          <w:szCs w:val="24"/>
        </w:rPr>
        <w:t>63万元，其中：基本支出1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415.65</w:t>
      </w:r>
      <w:r>
        <w:rPr>
          <w:rFonts w:hint="eastAsia" w:ascii="宋体" w:hAnsi="宋体" w:eastAsia="宋体" w:cs="宋体"/>
          <w:bCs/>
          <w:sz w:val="24"/>
          <w:szCs w:val="24"/>
        </w:rPr>
        <w:t>万元，项目支出853.98万元。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（一）基本支出情况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基本支出用于为保障各部门、机构正常运转、完成日常工作任务而发生的支出，包括人员经费和公用经费。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年全年基本支出2269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Cs/>
          <w:sz w:val="24"/>
          <w:szCs w:val="24"/>
        </w:rPr>
        <w:t>63万元，其中：工资福利支出9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71</w:t>
      </w:r>
      <w:r>
        <w:rPr>
          <w:rFonts w:hint="eastAsia" w:ascii="宋体" w:hAnsi="宋体" w:eastAsia="宋体" w:cs="宋体"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53</w:t>
      </w:r>
      <w:r>
        <w:rPr>
          <w:rFonts w:hint="eastAsia" w:ascii="宋体" w:hAnsi="宋体" w:eastAsia="宋体" w:cs="宋体"/>
          <w:bCs/>
          <w:sz w:val="24"/>
          <w:szCs w:val="24"/>
        </w:rPr>
        <w:t>万元、商品和服务支出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1055.08</w:t>
      </w:r>
      <w:r>
        <w:rPr>
          <w:rFonts w:hint="eastAsia" w:ascii="宋体" w:hAnsi="宋体" w:eastAsia="宋体" w:cs="宋体"/>
          <w:bCs/>
          <w:sz w:val="24"/>
          <w:szCs w:val="24"/>
        </w:rPr>
        <w:t>万元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对个人和家庭的补助211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Cs/>
          <w:sz w:val="24"/>
          <w:szCs w:val="24"/>
        </w:rPr>
        <w:t>56万元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债务利息及费用支出0万元、资本性支出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23.44</w:t>
      </w:r>
      <w:r>
        <w:rPr>
          <w:rFonts w:hint="eastAsia" w:ascii="宋体" w:hAnsi="宋体" w:eastAsia="宋体" w:cs="宋体"/>
          <w:bCs/>
          <w:sz w:val="24"/>
          <w:szCs w:val="24"/>
        </w:rPr>
        <w:t>万元、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对企业补助8万、</w:t>
      </w:r>
      <w:r>
        <w:rPr>
          <w:rFonts w:hint="eastAsia" w:ascii="宋体" w:hAnsi="宋体" w:eastAsia="宋体" w:cs="宋体"/>
          <w:bCs/>
          <w:sz w:val="24"/>
          <w:szCs w:val="24"/>
        </w:rPr>
        <w:t>其他支出0万元。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项目支出是在基本支出之外为完成其特定的工作任务而发生的支出，主要用于专项工作的运转和设备升级等。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年项目经费支出853.9804万元，涉及13个项目，包括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2024年</w:t>
      </w:r>
      <w:r>
        <w:rPr>
          <w:rFonts w:hint="eastAsia" w:ascii="宋体" w:hAnsi="宋体" w:eastAsia="宋体" w:cs="宋体"/>
          <w:bCs/>
          <w:sz w:val="24"/>
          <w:szCs w:val="24"/>
        </w:rPr>
        <w:t>管理经费7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.00万元，2024年</w:t>
      </w:r>
      <w:r>
        <w:rPr>
          <w:rFonts w:hint="eastAsia" w:ascii="宋体" w:hAnsi="宋体" w:eastAsia="宋体" w:cs="宋体"/>
          <w:bCs/>
          <w:sz w:val="24"/>
          <w:szCs w:val="24"/>
        </w:rPr>
        <w:t>基层行政单位工作经费2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.00万元，</w:t>
      </w:r>
      <w:r>
        <w:rPr>
          <w:rFonts w:hint="eastAsia" w:ascii="宋体" w:hAnsi="宋体" w:eastAsia="宋体" w:cs="宋体"/>
          <w:bCs/>
          <w:sz w:val="24"/>
          <w:szCs w:val="24"/>
        </w:rPr>
        <w:t>国有企业办公共服务机构移交补助支出经费17.4804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万元，</w:t>
      </w:r>
      <w:r>
        <w:rPr>
          <w:rFonts w:hint="eastAsia" w:ascii="宋体" w:hAnsi="宋体" w:eastAsia="宋体" w:cs="宋体"/>
          <w:bCs/>
          <w:sz w:val="24"/>
          <w:szCs w:val="24"/>
        </w:rPr>
        <w:t>国有企业退休人员社会化管理补助支出经费8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.00元，</w:t>
      </w:r>
      <w:r>
        <w:rPr>
          <w:rFonts w:hint="eastAsia" w:ascii="宋体" w:hAnsi="宋体" w:eastAsia="宋体" w:cs="宋体"/>
          <w:bCs/>
          <w:sz w:val="24"/>
          <w:szCs w:val="24"/>
        </w:rPr>
        <w:t>陆城镇信访维稳经费8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.00万元，</w:t>
      </w:r>
      <w:r>
        <w:rPr>
          <w:rFonts w:hint="eastAsia" w:ascii="宋体" w:hAnsi="宋体" w:eastAsia="宋体" w:cs="宋体"/>
          <w:bCs/>
          <w:sz w:val="24"/>
          <w:szCs w:val="24"/>
        </w:rPr>
        <w:t>公共图书馆、美术馆、文化馆（站）免费开放经费3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.00万元，</w:t>
      </w:r>
      <w:r>
        <w:rPr>
          <w:rFonts w:hint="eastAsia" w:ascii="宋体" w:hAnsi="宋体" w:eastAsia="宋体" w:cs="宋体"/>
          <w:bCs/>
          <w:sz w:val="24"/>
          <w:szCs w:val="24"/>
        </w:rPr>
        <w:t>文化事业和文化产业发展1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.00万元，</w:t>
      </w:r>
      <w:r>
        <w:rPr>
          <w:rFonts w:hint="eastAsia" w:ascii="宋体" w:hAnsi="宋体" w:eastAsia="宋体" w:cs="宋体"/>
          <w:bCs/>
          <w:sz w:val="24"/>
          <w:szCs w:val="24"/>
        </w:rPr>
        <w:t>香铺村周家垅组道路拓宽3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.00万元，</w:t>
      </w:r>
      <w:r>
        <w:rPr>
          <w:rFonts w:hint="eastAsia" w:ascii="宋体" w:hAnsi="宋体" w:eastAsia="宋体" w:cs="宋体"/>
          <w:bCs/>
          <w:sz w:val="24"/>
          <w:szCs w:val="24"/>
        </w:rPr>
        <w:t>美丽乡村建设资金201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.00万元，</w:t>
      </w:r>
      <w:r>
        <w:rPr>
          <w:rFonts w:hint="eastAsia" w:ascii="宋体" w:hAnsi="宋体" w:eastAsia="宋体" w:cs="宋体"/>
          <w:bCs/>
          <w:sz w:val="24"/>
          <w:szCs w:val="24"/>
        </w:rPr>
        <w:t>村级（社区）组织运转经费164.5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0万元，</w:t>
      </w:r>
      <w:r>
        <w:rPr>
          <w:rFonts w:hint="eastAsia" w:ascii="宋体" w:hAnsi="宋体" w:eastAsia="宋体" w:cs="宋体"/>
          <w:bCs/>
          <w:sz w:val="24"/>
          <w:szCs w:val="24"/>
        </w:rPr>
        <w:t>彩票公益金支持乡村经济发展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资金</w:t>
      </w:r>
      <w:r>
        <w:rPr>
          <w:rFonts w:hint="eastAsia" w:ascii="宋体" w:hAnsi="宋体" w:eastAsia="宋体" w:cs="宋体"/>
          <w:bCs/>
          <w:sz w:val="24"/>
          <w:szCs w:val="24"/>
        </w:rPr>
        <w:t>360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.00万元</w:t>
      </w:r>
      <w:r>
        <w:rPr>
          <w:rFonts w:hint="eastAsia" w:ascii="宋体" w:hAnsi="宋体" w:eastAsia="宋体" w:cs="宋体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农村综合改革转移支付公益事业奖补资金73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.00万元，</w:t>
      </w:r>
      <w:r>
        <w:rPr>
          <w:rFonts w:hint="eastAsia" w:ascii="宋体" w:hAnsi="宋体" w:eastAsia="宋体" w:cs="宋体"/>
          <w:bCs/>
          <w:sz w:val="24"/>
          <w:szCs w:val="24"/>
        </w:rPr>
        <w:t>陆城镇乡村基础设施维护6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.00万元。</w:t>
      </w:r>
      <w:r>
        <w:rPr>
          <w:rFonts w:hint="eastAsia" w:ascii="宋体" w:hAnsi="宋体" w:eastAsia="宋体" w:cs="宋体"/>
          <w:bCs/>
          <w:sz w:val="24"/>
          <w:szCs w:val="24"/>
        </w:rPr>
        <w:tab/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政府性基金预算支出情况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政府性基金预算360.00万元，</w:t>
      </w:r>
      <w:r>
        <w:rPr>
          <w:rFonts w:hint="eastAsia" w:ascii="宋体" w:hAnsi="宋体" w:eastAsia="宋体" w:cs="宋体"/>
          <w:bCs/>
          <w:sz w:val="24"/>
          <w:szCs w:val="24"/>
        </w:rPr>
        <w:t>基本执行到位。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国有资本经营预算支出情况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国有资本经营预算25.48万元，</w:t>
      </w:r>
      <w:r>
        <w:rPr>
          <w:rFonts w:hint="eastAsia" w:ascii="宋体" w:hAnsi="宋体" w:eastAsia="宋体" w:cs="宋体"/>
          <w:bCs/>
          <w:sz w:val="24"/>
          <w:szCs w:val="24"/>
        </w:rPr>
        <w:t>基本执行到位。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社会保险基金预算支出情况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(一) 政府部门工作目标完成情况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年来，我们逆势而为、苦干实干，始终把项目建设作为头等大事，彰显了干部敢打敢拼的担当作为。充分认识到发展是硬道理，项目是硬支撑，只有推动项目落地，才能带动陆城群众增收、基础设施改善、经济高质量发展。这一年，我们坚决扛起了服务我区石化产业高质量发展重任，以机构改革为契机，统一全镇各方资源，安排优势力量，建立“一个片区一套班子、一支队 伍一线驻守”的服务协调机制，克服时间紧、任务重、战线长、要求高等多重挑战，全体工作人员不辱使命、担当作为、敢打敢 拼，实行“5+2”工作法，全年全力以赴推进项目建设。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2024 年，共完成绿色化工园调园扩区、乙烯项目配套公路、创新创业产业园、浩吉铁路、管带机等10 个重点项目土地征收2100亩、房屋 拆除62栋、坟墓迁移1685冢，妥善解决各类矛盾115 个，确保了项目的顺利推进，为全区石化产业贡献了陆城力量。服务项目是我们的历史使命，但以项目促进区域经济发展是我们的根本目标。2024年，我们融合项目建设，解决了一批群众反映强烈的实际问题，新修道路3公里，完善水系建设13处，新建安置房屋145栋，解决失地农民就业近100人，实现了项目服务与区域经济社会发展的同频共振、双赢局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年来，我们因地制宜、精准谋划，始终聚焦推进乡村全面振兴，展现了农业农村发展新气象。习近平总书记强调要推进中国式现代化，必须坚持不懈夯实农业基础，推进乡村全面振兴。作为基层政府，我们的重要职责是根据实际、因地制宜、精准谋划，强力推进乡村振兴，逐步实现农村美、农业强、农民富的乡村美丽蓝图。这一年，我们聚焦粮食安全，严格落实耕地保护政策，精准发放惠农补贴，对种粮大户、双季稻种植户进行奖补，充分调动种粮积极性，有效维护了粮食供应的稳定和安全。2024年，共完成耕地恢复472亩，发放惠农补贴346.9万元，播种双季稻2246亩，种植绿肥600亩，夯实了粮食安全根基。这一年，我们聚焦产业发展，以河湖经济为主导产业，引导各村（社区）立足资源禀赋，推动产业规模化、差异化和链条式发展，全镇产业呈现良好态势。2024年，河湖管理实现综合收益400万元，带动63名群众灵活就业，积累了螃蟹生态养殖经验；泾港村80亩和白泥湖160亩四季果园完成栽种，泾港村5.4公里环湖垂钓公路全面建成，钢铁村新扩种100亩油茶，新建2个现代化油茶加工厂，初步形成了河湖产业为主导、其他产业齐头并进的产业 发展格局。这一年，我们聚焦文旅融合，立足古镇保护开发的战略安排，有机整合陆城历史文化、民俗特色与乡村振兴等多重优势资源，多维度释放品牌效应。2024 年，共投入260余万元用于老街修缮工程，还原老街古韵风貌；陆城文化礼堂增列为省级文物保护单位，泾港村民俗馆获评岳阳市博物馆分馆、岳阳市博物馆研学教育基地，文旅含金量大大提升；全年共接待省环保厅、湖南理工学院等部门单位57批次1500余人研学考察，红网、抖音等媒体宣传84次，古镇影响力进一步扩大。这一年，我们聚焦基础建设，继续发挥村级公益性项目奖补资金带动作用，完成沟渠疏浚清淤9.7公里，新装和维修路灯447盏，新建和维修机埠5座，改造山塘2口，道路提质改造21.1公里，铺设节水灌溉管道4.3公里，新增健身器材18套，公共基础设施进一步完善；克服重重困难，实施推进道仁矶片区天然气入户工程，群众幸福感、获得感不断增强；新打造枫桥湖村、香铺村、丁山村美丽屋场，农村环境更加宜居；争取撇洪河灌区项目，系统升级泾港、钢铁、香铺三村沿河水系，特别对 2024 年度汛暴露出的水利设施问题，我们重建周家咀闸、新桥咀闸等关键闸口，优化己内酰胺项目周边水系排灌系统，对二级渠进行清淤改造，区域防汛抗旱能力大幅提升。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年来，我们关切民生、主动作为，始终心系群众所思所盼，践行了为民造福的初心使命。坚持以人民为中心的工作理念，真正将群众的利益作为我们工作的出发点和落脚点，以最真诚的态度、最大的力度、最实的举措，把群众所盼的关键小事办成暖心实事。让老有所依，针对枫桥湖花园留守老人多、子女外出务工照料不到的现实问题，与小罗鱼蟹馆合作，投资56万元打造长者食堂和文化活动室，既方便群众就餐又丰富老年生活。由于价格低廉实惠，每天有近100人次在此用餐，得到了老人和子女的高度认可，这种模式在全区被广泛推介；加大对道仁矶、陆城敬老院的经费投入，保障了老人各项生活需要；按时足额发放城乡居民养老金，落实国家惠民养老政策。让弱有所扶，通过精准识别，新纳入监测对象7户25人，让困难群众享受政策红利；新开发公益性岗位28个，让困难群众实现了家门口就业，拓展了增收渠道；通过多方争取救助资金，2024年发放救助资金90万元，惠及困难群众3400余人次，关爱力度和慰问规模为历年之最；组织春节前夕“六个一”活动，让困难群众过上幸福年；通过牵线搭桥，组织乡贤企业家与贫困学子结对帮扶，全镇无一学子因贫困而失学。让民诉有所应，深入开展“党员联户党群连 心”服务行动，全镇包组干部下沉到组收集民情，实现基础信息有人收集、问题隐患有人排查、矛盾纠纷有人调解、民生诉求有人落实，全年办理民生诉求 12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个，真正做到民有所诉、我有所应。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年来，我们履职尽责、严守底线，始终维护社会大局安全稳定，夯实了高质量发展的全过程保障。社会安全稳定是做好一切工作的前提和基础，我们始终统筹发展和安全两件大事，以“时时放心不下”的责任感，筑牢安全稳定防线。紧盯燃气、道路交通、食品药品、自建房、消防等重点行业领域，层层落实安全生产责任，班子成员、村（社区）书记和行业站所开展常态化检查 104 次，全年未发生一般及以上安全事故。在低温雨雪冰冻天气和防汛救灾中，全体镇村干部和党员组长冲在一线、守在一线、干在一线，维护了全镇人民群众生命财产安全。安排一村一法律顾问，开展4次法律援助，化解154起矛盾纠纷，解决3起历史积案。 常态化开展 “利剑护蕾”、禁毒、防电诈、反邪教、扫黑除恶等工作，严厉打击违法犯罪行为，社会安全得到有效维护， 群众公众安全感和满意度持续提升。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一年来，我们严管厚爱、正风肃纪，始终抓牢作风建设，锻造了踔厉奋发的基层干部队伍。牢固树立“有为才能有位”的理念，持之以恒加强作风建设，助推干部思想再解放、能力再提升、 作风再务实。坚持教育培养，择优选派 2 名年轻干部参与“干部 蹲苗”双向挂职行动，组织镇村干部 72 人次赴江西、湖北、市 农科院、临湘、汨罗等地学习蔬菜种植、水产养殖、基层治理等先进经验和典型做法，进一步拓宽视野；鼓励机关干部参加行政执法资格考试，2024 年机关共有12 名干部通过考试取得执法证，通过人数为五个镇（街道）之最，干部素养得到提升。坚持鲜明导向，树立重实干、重担当、公开透明的选人用人导向，选优配强干部队伍，2024年共提拔6名实绩突出的干部至站所长，1名村（社区）书记解决事业编，调整2名村党支部书记，新配2名村支部副书记，培育18名党组织带头人、15名后备干部，干部队伍活力进一步增强。坚持挺纪在前，深入开展群众身边不正之风和腐败问题集中整治行动，扎实推进党纪学习教育，及时通报典型案例，使铁的纪律转化为干部的日常习惯和自觉遵循；突出抓好违纪违规的案件办理，在建房审批、生态环境等重点领域起底问题线索20条，立案26人，以案肃纪，党风政风进一步好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回眸2024年，每一个简单抽象的数字上面，无不彰显出全镇上下顶压前行、负重拼搏的勇气和力量；每一项省市区的荣誉背后，无不蕴含着干部群众真抓实干、团结奋斗的精神和作风；每一个令人难忘的时刻瞬间，无不展现了党员干部能吃苦、能战斗、能奉献的风貌和气概。一年来，我们在应对挑战中主动作为，一关接着一关闯，一仗接着一仗打，取得的成绩来之不易，值得倍加珍惜。这得益于区委、区政府的坚强领导，离不开社会各界的鼎力支持，更凝聚着全镇干部的心血和汗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总结归纳本部门“四本预算”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一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是村集体经济仍然较弱。</w:t>
      </w:r>
      <w:r>
        <w:rPr>
          <w:rFonts w:hint="eastAsia" w:ascii="宋体" w:hAnsi="宋体" w:eastAsia="宋体" w:cs="宋体"/>
          <w:sz w:val="24"/>
          <w:szCs w:val="24"/>
        </w:rPr>
        <w:t>各村（社区）村集体经济收入主要以资源发包、土地流转为主，收入来源单一、自主产业不鲜明、村自留空间有限。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是民生基础设施建设还存在短板。</w:t>
      </w:r>
      <w:r>
        <w:rPr>
          <w:rFonts w:hint="eastAsia" w:ascii="宋体" w:hAnsi="宋体" w:eastAsia="宋体" w:cs="宋体"/>
          <w:sz w:val="24"/>
          <w:szCs w:val="24"/>
        </w:rPr>
        <w:t xml:space="preserve">虽然近年镇财政在民生设施上投入了大量资金，但在水利设施、生产条件、道路出行还存在短板，老百姓反映强烈的愿望还没有得到完全满足。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是镇财政收支矛盾日益突出。</w:t>
      </w:r>
      <w:r>
        <w:rPr>
          <w:rFonts w:hint="eastAsia" w:ascii="宋体" w:hAnsi="宋体" w:eastAsia="宋体" w:cs="宋体"/>
          <w:sz w:val="24"/>
          <w:szCs w:val="24"/>
        </w:rPr>
        <w:t>财政收入主要来源于项目建设和上级转移支付，自有财源有限，而财政刚性支出呈逐年增长的态势，造成财政收支矛盾日益加大。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是安全稳定风险依旧较大。 </w:t>
      </w:r>
      <w:r>
        <w:rPr>
          <w:rFonts w:hint="eastAsia" w:ascii="宋体" w:hAnsi="宋体" w:eastAsia="宋体" w:cs="宋体"/>
          <w:sz w:val="24"/>
          <w:szCs w:val="24"/>
        </w:rPr>
        <w:t xml:space="preserve"> 陆城辖区范围内有园区、港区、厂区，企业多、物流车流多，造成交通安全、施工安全、环保风险、稳定风险较大。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是干部队伍作风有待进一步转变。</w:t>
      </w:r>
      <w:r>
        <w:rPr>
          <w:rFonts w:hint="eastAsia" w:ascii="宋体" w:hAnsi="宋体" w:eastAsia="宋体" w:cs="宋体"/>
          <w:sz w:val="24"/>
          <w:szCs w:val="24"/>
        </w:rPr>
        <w:t>部分干部在工作中存在沿用 “老材料”“老办法”“老思想”现象，工作不研究政策，没有用政策的武装来解决问题，存在“和稀泥”现象；少数干部作风不实，不愿担责不愿吃苦，没有奉献精神，工作只求过得去，不求过得硬，造成工作亮点不多、推进缓慢；个别党员组长政治规矩意识不强，在重点项目、重大工程中打着集体旗号谋取个人不当利益，影响较坏，在村组级公益事业建设上存在等靠要思想，没发动群众积极性，造成组级公益事业推进缓慢等等。对于这些短板问题，我们一定勇于面对、强化担当，在不断破解矛盾问题中赢得主动，采取有力措施，逐步加以解决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1.在古镇保护开发上实现新突破。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开发陆城古镇是全体陆城 群众的共同期盼和美好愿景。这几年，我们整合资金，有力推进 了老街面貌改善和整体环境提质。2024年10月22日省委常委、市委书记谢卫江调研陆城后明确提出要加快古镇保护与开发，区委区政府高度重视，将古镇保护与开发纳入政府工作报告和2025年必办实事之一。面对这千载难逢的发展机会，全镇上下一是要坚定意志，当前古镇开发面临项目体量小、社会主体开发意愿不强、区位优势不明显、区财政支持有限等诸多困难，但古镇保护开发对陆城整体城镇面貌提质、群众增收、文化传承具有重要意义。为此，要鼓足干劲、攻坚克难，同心同德、坚定意志，以“建功必定有我，功成不必在我”的担当，超常规推进古镇保护开发项目，决不错失这个千载难逢的机遇。二是要高位统筹。科学规划，站在历史与现状、当前与长远、局部与整体的角度进行顶层设计，统筹历史人文资源，联动大矶头、铜鼓山2处国家级文保 单位、白泥湖国家湿地公园，以及泾港民俗文化馆、悟莲园，共同打造精品文旅路线；统筹湖鲜品牌，综合利用我镇河湖资源和白泥湖螃蟹金字招牌，打造陆城湖鲜特色一桌餐，在陆城片区举办第二届白泥湖螃蟹节，以湖鲜产业发展带动古镇开发；统筹廉政教育基地、党建研学基地等品牌，进一步做大品牌价值，拉动人流量，为古镇开发注入不竭动力。各村社区要根据整体开发思路，自觉把乡村振兴摆到全镇大环境中去，锚定发展路径，找到 发展定位，形成以点带面全面发展的良好局面。 三是全力推进。全镇上下要树立一盘棋思想，镇党委成立我和镇长任双组长的项目专班，班子成员各负其责，全体镇村干部全面参与，特别是相关村（社区）党员组长要引导群众增强大局意识，积极配合参与 相关工作，做古镇开发的支持者，为古镇开发做贡献；各职能站所、相关专班要主动向上对接争取项目支持，实行全过程监管，把古镇保护开发项目建成一个民心工程、廉洁工程。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2.在重点项目攻坚上取得新进展。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镇上下要牢固树立“抓项目就是抓发展”的理念，全力服务好项目建设，确保项目顺利推进。一是加速完成项目协调。项目指挥部要挂图作战、上下一心、靠前服务，推进己内酰胺还建、创新创业产业园、静脉产业园、浩吉铁路、S208和S301提质改造等重点项目攻坚，实现项目早开工、早见效，以项目落地带动区域经济发展。二是全面优化征拆环境。拆迁事关群众切身利益，全过程必须依法依规，2025 年，各项目服务单位务必做到规范征拆、阳光征拆、和谐征拆、 公开征拆、高效征拆，最大程度维护群众利益。对在征拆过程中 出现的强迫交易、非法阻工揽工和敲诈勒索等违法违规行为进行 坚决处理、决不姑息，特别是对党员组长阻工闹事等违法行为“零 容忍”，发现一起、处理一起。同时，保持违建整治高压态势，消存量、遏增量，依法严厉打击私搭乱建现象，2025年我们将 组织 2 次以上的整治行动，彻底优化征拆环境。三是妥善安置失地群众。做好重点项目建设的“后半篇文章”就是做好失地农民的安置工作。今年，我们要克服一切困难，想尽一切办法，秉承 公平公正透明的原则，坚决完成己内酰胺还建点房屋建设，让被安置群众早日搬进新居。同时，积极与园区企业对接，定期组织开展就业推介会、职业技能培训，切实解决失地农民就业难问题。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3.在实施乡村全面振兴上焕发新动力。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坚持农业农村优先发展，推动乡村产业升级，促进农业高质高效、乡村宜居宜业、农民富裕富足。一是巩固拓展脱贫攻坚成果。压实镇、村、驻村工作队三方责任，抓好防返贫动态监测帮扶，对大病重病家庭、农村低保和特困供养对象等重点人群，做到应纳尽纳、应帮尽帮，坚决守住不发生规模性返贫底线；积极开发村级公益性岗位，为更多监测户、脱贫户提供就业机会。二是全力保障粮食安全。各村（社区）要扛牢粮食安全的政治责任，确保粮食安全，这里重点讲两个问题。一是耕地保护问题，保护耕地是保障粮食生产和粮食安全的前提，目前国家全面收紧土地政策，我们要实施最严厉的耕地保护政策，各村（社区）要积极宣传，不碰触耕地保护红线；二是水利冬修问题，各村（社区）加快完成去年汛期水毁农田和农业设施修复工作，保障今年春播有序进行。三是持续壮大产业发展。加深与农发集团沟通合作，升级河湖自营管理水平，从整体规模上提升新的经济社会效益；实施丁山村蔬菜大棚等设施农业，推进农业机械化、智能化，提升农业产出；按照“一村 一实体”布局定位，各村（社区）大力发展以油茶、稻虾、湘莲为主的特色产业，承租河湖、山林等资源，拓宽增收渠道，壮大集体经济，带动群众增收致富。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4.在改善民生福祉上呈现新亮点。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始终落实强保障、办实事、惠民生的工作理念，不断提升人民群众幸福感、获得感。一是办好民生实事。集中力量、集中精力、集中财力保障，确保镇人大会确定的白泥湖村环境治理、老旧小区改造、陆城主街提质改造、农田沟渠清淤及机耕路修复项目、农村道路提质改造等2025年六项民生实事全面完成；继续实施村级小型公益性项目奖补政策，撬动群众参与积极性，进一步补齐民生短板；发扬职能站所争资优势，争取更多资金改善基础设施条件，惠及民生。二是兜底民生保障。加强对老年人、残疾人、贫困学子关爱救助，落实特困人员供养、残疾人服务、城乡居民低保、临时救助等保障政策，不断提高困难群众保障水平；全面完成陆城镇综合性养老服务中心建设，提升社区养老水平，让养老更舒心；落实医保政策，做好城乡居民医保征缴，实现应保尽保、应缴尽缴。三是树立文明新风。持续改善农村人居环境整治和路域环境整治，提升农村垃圾处理和生活污水治理水平；深化移风易俗工作，用好红白理事会等群众自治组织，更好发挥村规民约作用，搭建多元化文化宣传阵地，进一步培育文明乡风、良好家风、淳朴民风。四是深化党群联系机制。继续开展好 “党员联户 党群连心”服务行动，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包组干部每月至少开展一次入村走访，党建办、村（社区）要做好每月社情民情问题汇总、研判、反馈，做到群众反映的问题“件 件有着落，事事有回音”。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5.在维护安全稳定上展现新担当。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坚持安全第一、预防为主、 综合治理，抓好防风险、保安全、护稳定各项工作，以高水平安 全护航高质量发展。一是抓紧抓实安全生产工作。全面压实“行 业站所、村（社区）、企业主体”三方责任，常态化对项目施工、群租房、消防安全、烟花爆竹、交通顽瘴痼疾整治、食品安全等领域开展大排查、大整治；强化应急管理体系和能力建设，组织镇应急救援队开展2次以上应急救援演练，实时更新应急救援物资，做好应对突发事件的各项准备工作，坚决防范和遏制较大及以上生产安全事故。二是从严整治生态环保难题。持续推进长江禁捕、秸秆禁烧、水系治理、厕所革命等专项行动，严格落实河湖长制，压紧压实各级林长责任，及时完成森林、水利等图斑整改销号，坚决打好蓝天、碧水、净土保卫战。三是坚决守牢社会稳定底线。推深做实“群英断是非”工作法，村（社区）要培育一批本土法律明白人，化解一批信访积案；常态化开展扫黑除恶 斗争，全面加强“利剑护蕾”未成年人保护工作，坚决打击电信网络诈骗、黄赌毒和非法宗教等各类违法犯罪行为，今年力争创建1-2 个平安乡村示范村，共同构筑平安陆城。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　　</w:t>
      </w:r>
      <w:r>
        <w:rPr>
          <w:rFonts w:hint="eastAsia" w:ascii="黑体" w:hAnsi="黑体" w:eastAsia="黑体" w:cs="黑体"/>
          <w:sz w:val="24"/>
          <w:szCs w:val="24"/>
        </w:rPr>
        <w:t>九、其他需要说明的情况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无。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8576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3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6A47E"/>
    <w:multiLevelType w:val="singleLevel"/>
    <w:tmpl w:val="8426A47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FD04DC"/>
    <w:multiLevelType w:val="singleLevel"/>
    <w:tmpl w:val="A4FD04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52B2E63"/>
    <w:multiLevelType w:val="singleLevel"/>
    <w:tmpl w:val="452B2E6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YjEwYTAzNjUzNjMzZTVmODI3NzU1ZmE4OTdlODYifQ=="/>
  </w:docVars>
  <w:rsids>
    <w:rsidRoot w:val="523A11B2"/>
    <w:rsid w:val="523A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2025-07-04T01:18:00Z</dcterms:created>
  <dc:creator>赵志军</dc:creator>
  <cp:lastModifiedBy>赵志军</cp:lastModifiedBy>
  <dcterms:modified xsi:type="dcterms:W3CDTF">2025-07-04T01:26:05Z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1D2B1CA2A2784E8795DCBB7821812186_11</vt:lpwstr>
  </property>
</Properties>
</file>