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F2F85">
      <w:pPr>
        <w:bidi w:val="0"/>
        <w:outlineLvl w:val="9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附件2</w:t>
      </w:r>
    </w:p>
    <w:p w14:paraId="2A2289E5">
      <w:pPr>
        <w:keepNext w:val="0"/>
        <w:keepLines w:val="0"/>
        <w:pageBreakBefore w:val="0"/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91"/>
        <w:jc w:val="center"/>
        <w:textAlignment w:val="auto"/>
        <w:outlineLvl w:val="0"/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/>
        </w:rPr>
        <w:t>部门整体支出绩效评价基础数据表</w:t>
      </w:r>
    </w:p>
    <w:p w14:paraId="7322D1F4">
      <w:pPr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ind w:left="91"/>
        <w:jc w:val="left"/>
        <w:rPr>
          <w:rFonts w:hint="eastAsia" w:eastAsia="仿宋_GB2312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0"/>
          <w:szCs w:val="20"/>
          <w:lang w:val="en-US" w:eastAsia="zh-CN"/>
        </w:rPr>
        <w:t xml:space="preserve">填报单位：岳阳市云溪区归国华侨联合会   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 xml:space="preserve">  </w:t>
      </w:r>
      <w:r>
        <w:rPr>
          <w:rFonts w:hint="eastAsia" w:eastAsia="仿宋_GB2312"/>
          <w:kern w:val="0"/>
          <w:sz w:val="24"/>
          <w:lang w:val="en-US" w:eastAsia="zh-CN"/>
        </w:rPr>
        <w:t xml:space="preserve">                              </w:t>
      </w:r>
    </w:p>
    <w:tbl>
      <w:tblPr>
        <w:tblStyle w:val="7"/>
        <w:tblW w:w="5425" w:type="pct"/>
        <w:tblInd w:w="-34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6"/>
        <w:gridCol w:w="792"/>
        <w:gridCol w:w="1222"/>
        <w:gridCol w:w="925"/>
        <w:gridCol w:w="1325"/>
        <w:gridCol w:w="976"/>
        <w:gridCol w:w="1241"/>
      </w:tblGrid>
      <w:tr w14:paraId="0D2721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66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74B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财政供养人员情况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F27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编制数</w:t>
            </w: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5EF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2024实际在职人数</w:t>
            </w: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F00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控制率</w:t>
            </w:r>
          </w:p>
        </w:tc>
      </w:tr>
      <w:tr w14:paraId="290873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61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FEFBB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E13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443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7F5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</w:tr>
      <w:tr w14:paraId="63741D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29D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经费控制情况(万元)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941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2023年决算数</w:t>
            </w: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32D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2024预算数</w:t>
            </w: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2D8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2024决算数</w:t>
            </w:r>
          </w:p>
        </w:tc>
      </w:tr>
      <w:tr w14:paraId="43ABE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855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三公经费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85B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0.41</w:t>
            </w: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68D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04D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</w:tr>
      <w:tr w14:paraId="359445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EF8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1、公务用车购置和维护经费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876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7B1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C7E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5EB4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9B3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其中：公车购置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8AD5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8CF6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E55E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78CB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EFB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公车运行维护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E7B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A842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381E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A50C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673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2、出国经费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369E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FBD5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1029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0259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A81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3、公务接待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547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0.41</w:t>
            </w: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C73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238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</w:tr>
      <w:tr w14:paraId="6ED055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7D9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项目支出：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5B5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4.64</w:t>
            </w: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4FE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</w:t>
            </w: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4FA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5.78</w:t>
            </w:r>
          </w:p>
        </w:tc>
      </w:tr>
      <w:tr w14:paraId="14B478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0ED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1、业务工作经费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051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4.64</w:t>
            </w: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495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</w:t>
            </w: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85F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5.78</w:t>
            </w:r>
          </w:p>
        </w:tc>
      </w:tr>
      <w:tr w14:paraId="657F15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90A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2、运行维护经费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725E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0F73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2C2F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191C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09B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3、本级专项资金（一个专项一行）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E01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A72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7DA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0A19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5F0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公用经费：</w:t>
            </w:r>
          </w:p>
        </w:tc>
        <w:tc>
          <w:tcPr>
            <w:tcW w:w="201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FBF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22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8BD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4.08</w:t>
            </w:r>
          </w:p>
        </w:tc>
        <w:tc>
          <w:tcPr>
            <w:tcW w:w="221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EFA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10.25</w:t>
            </w:r>
          </w:p>
        </w:tc>
      </w:tr>
      <w:tr w14:paraId="309C0C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6EC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其中：办公经费</w:t>
            </w:r>
          </w:p>
        </w:tc>
        <w:tc>
          <w:tcPr>
            <w:tcW w:w="201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1F1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1.62</w:t>
            </w:r>
          </w:p>
        </w:tc>
        <w:tc>
          <w:tcPr>
            <w:tcW w:w="22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D3D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1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9AC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1.20</w:t>
            </w:r>
          </w:p>
        </w:tc>
      </w:tr>
      <w:tr w14:paraId="7B72E9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318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水费、电费、差旅费</w:t>
            </w:r>
          </w:p>
        </w:tc>
        <w:tc>
          <w:tcPr>
            <w:tcW w:w="201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353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22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84D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0.30</w:t>
            </w:r>
          </w:p>
        </w:tc>
        <w:tc>
          <w:tcPr>
            <w:tcW w:w="221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A51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0.19</w:t>
            </w:r>
          </w:p>
        </w:tc>
      </w:tr>
      <w:tr w14:paraId="284E0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09F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会议费、培训费</w:t>
            </w:r>
          </w:p>
        </w:tc>
        <w:tc>
          <w:tcPr>
            <w:tcW w:w="201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CAD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22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504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0.12</w:t>
            </w:r>
          </w:p>
        </w:tc>
        <w:tc>
          <w:tcPr>
            <w:tcW w:w="221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BECC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912D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181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政府采购金额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B512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A519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C79A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F5B0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17C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部门基本支出预算调整 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CA39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FB4F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6B03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46F8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66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349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楼堂馆所控制情况 </w:t>
            </w:r>
          </w:p>
          <w:p w14:paraId="397B5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（2024完工项目）</w:t>
            </w: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39F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批复规模 </w:t>
            </w:r>
          </w:p>
          <w:p w14:paraId="0B8CD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（㎡）</w:t>
            </w:r>
          </w:p>
        </w:tc>
        <w:tc>
          <w:tcPr>
            <w:tcW w:w="6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3F4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实际规模</w:t>
            </w:r>
          </w:p>
          <w:p w14:paraId="73BF5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（㎡）</w:t>
            </w:r>
          </w:p>
        </w:tc>
        <w:tc>
          <w:tcPr>
            <w:tcW w:w="4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99B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规模控制率</w:t>
            </w:r>
          </w:p>
        </w:tc>
        <w:tc>
          <w:tcPr>
            <w:tcW w:w="6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041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预算投资</w:t>
            </w:r>
          </w:p>
          <w:p w14:paraId="1852D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504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实际投资</w:t>
            </w:r>
          </w:p>
          <w:p w14:paraId="74AEC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D5E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投资概算控制率</w:t>
            </w:r>
          </w:p>
        </w:tc>
      </w:tr>
      <w:tr w14:paraId="2F7F5B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6EE94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1733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A2DC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6DD8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1DB0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D276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599F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CB53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EBA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厉行节约保障措施</w:t>
            </w:r>
          </w:p>
        </w:tc>
        <w:tc>
          <w:tcPr>
            <w:tcW w:w="3338" w:type="pct"/>
            <w:gridSpan w:val="6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6471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2760CC4B">
      <w:pPr>
        <w:pStyle w:val="1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firstLine="0" w:firstLineChars="0"/>
        <w:textAlignment w:val="auto"/>
        <w:outlineLvl w:val="9"/>
        <w:rPr>
          <w:rFonts w:eastAsia="仿宋_GB2312"/>
          <w:kern w:val="0"/>
          <w:sz w:val="22"/>
        </w:rPr>
      </w:pPr>
    </w:p>
    <w:p w14:paraId="25E47FC1">
      <w:pPr>
        <w:pStyle w:val="1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firstLine="0" w:firstLineChars="0"/>
        <w:textAlignment w:val="auto"/>
        <w:outlineLvl w:val="9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kern w:val="0"/>
          <w:sz w:val="22"/>
        </w:rPr>
        <w:t>说明：“项目支出”需要填报基本支出以外的所有项目支出情况，“公用经费”填报基本支出中的一般商品和服务支出。</w:t>
      </w:r>
    </w:p>
    <w:p w14:paraId="5149A16D">
      <w:pPr>
        <w:widowControl w:val="0"/>
        <w:kinsoku/>
        <w:autoSpaceDE/>
        <w:autoSpaceDN/>
        <w:adjustRightInd/>
        <w:snapToGrid/>
        <w:spacing w:line="600" w:lineRule="exact"/>
        <w:jc w:val="both"/>
        <w:textAlignment w:val="auto"/>
        <w:rPr>
          <w:rFonts w:hint="eastAsia" w:ascii="宋体" w:hAnsi="宋体" w:eastAsia="宋体" w:cs="宋体"/>
          <w:snapToGrid/>
          <w:color w:val="000000"/>
          <w:kern w:val="0"/>
          <w:sz w:val="20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snapToGrid/>
          <w:color w:val="000000"/>
          <w:kern w:val="0"/>
          <w:sz w:val="20"/>
          <w:szCs w:val="20"/>
          <w:lang w:val="en-US" w:eastAsia="zh-CN" w:bidi="ar-SA"/>
        </w:rPr>
        <w:t>填表人：        填报日期：        联系电话：       单位负责人签字：</w:t>
      </w:r>
    </w:p>
    <w:p w14:paraId="5EEA9819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ascii="黑体" w:hAnsi="黑体" w:eastAsia="黑体" w:cs="黑体"/>
          <w:bCs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588" w:right="1588" w:bottom="1588" w:left="1588" w:header="851" w:footer="992" w:gutter="0"/>
          <w:pgNumType w:start="1"/>
          <w:cols w:space="720" w:num="1"/>
          <w:titlePg/>
          <w:docGrid w:type="linesAndChars" w:linePitch="602" w:charSpace="-782"/>
        </w:sectPr>
      </w:pPr>
    </w:p>
    <w:p w14:paraId="51956894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3-1</w:t>
      </w:r>
      <w:r>
        <w:rPr>
          <w:rFonts w:hint="eastAsia" w:ascii="黑体" w:hAnsi="黑体" w:eastAsia="黑体" w:cs="黑体"/>
          <w:bCs/>
          <w:sz w:val="32"/>
          <w:szCs w:val="32"/>
        </w:rPr>
        <w:t>：</w:t>
      </w:r>
    </w:p>
    <w:p w14:paraId="514FB4A1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ascii="黑体" w:hAnsi="黑体" w:eastAsia="黑体" w:cs="黑体"/>
          <w:bCs/>
          <w:sz w:val="32"/>
          <w:szCs w:val="32"/>
        </w:rPr>
      </w:pPr>
    </w:p>
    <w:p w14:paraId="02CBB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宋体" w:hAnsi="宋体" w:eastAsia="宋体" w:cs="宋体"/>
          <w:b/>
          <w:bCs w:val="0"/>
          <w:sz w:val="46"/>
          <w:szCs w:val="46"/>
        </w:rPr>
      </w:pPr>
      <w:r>
        <w:rPr>
          <w:rFonts w:hint="eastAsia" w:ascii="宋体" w:hAnsi="宋体" w:eastAsia="宋体" w:cs="宋体"/>
          <w:b/>
          <w:bCs w:val="0"/>
          <w:sz w:val="46"/>
          <w:szCs w:val="46"/>
        </w:rPr>
        <w:t>岳阳市云溪区</w:t>
      </w:r>
      <w:r>
        <w:rPr>
          <w:rFonts w:hint="eastAsia" w:ascii="宋体" w:hAnsi="宋体" w:cs="宋体"/>
          <w:b/>
          <w:bCs w:val="0"/>
          <w:sz w:val="46"/>
          <w:szCs w:val="46"/>
          <w:u w:val="single"/>
          <w:lang w:eastAsia="zh-CN"/>
        </w:rPr>
        <w:t>2024</w:t>
      </w:r>
      <w:r>
        <w:rPr>
          <w:rFonts w:hint="eastAsia" w:ascii="宋体" w:hAnsi="宋体" w:eastAsia="宋体" w:cs="宋体"/>
          <w:b/>
          <w:bCs w:val="0"/>
          <w:sz w:val="46"/>
          <w:szCs w:val="46"/>
        </w:rPr>
        <w:t>度部门整体支出</w:t>
      </w:r>
    </w:p>
    <w:p w14:paraId="5EC288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 w:val="0"/>
          <w:sz w:val="46"/>
          <w:szCs w:val="46"/>
        </w:rPr>
      </w:pPr>
      <w:r>
        <w:rPr>
          <w:rFonts w:hint="eastAsia" w:ascii="宋体" w:hAnsi="宋体" w:eastAsia="宋体" w:cs="宋体"/>
          <w:b/>
          <w:bCs w:val="0"/>
          <w:sz w:val="46"/>
          <w:szCs w:val="46"/>
        </w:rPr>
        <w:t>绩效评价自评报告</w:t>
      </w:r>
    </w:p>
    <w:p w14:paraId="7ED6E169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eastAsia="仿宋_GB2312"/>
          <w:b/>
          <w:sz w:val="32"/>
        </w:rPr>
      </w:pPr>
    </w:p>
    <w:p w14:paraId="284B18DB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eastAsia="仿宋_GB2312"/>
          <w:b/>
          <w:sz w:val="32"/>
          <w:lang w:val="en-US" w:eastAsia="zh-CN"/>
        </w:rPr>
      </w:pPr>
      <w:r>
        <w:rPr>
          <w:rFonts w:hint="eastAsia" w:eastAsia="仿宋_GB2312"/>
          <w:b/>
          <w:sz w:val="32"/>
          <w:lang w:val="en-US" w:eastAsia="zh-CN"/>
        </w:rPr>
        <w:t xml:space="preserve"> </w:t>
      </w:r>
    </w:p>
    <w:p w14:paraId="14632C0F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eastAsia="仿宋_GB2312"/>
          <w:b/>
          <w:sz w:val="32"/>
          <w:lang w:val="en-US" w:eastAsia="zh-CN"/>
        </w:rPr>
      </w:pPr>
    </w:p>
    <w:p w14:paraId="254A69D9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eastAsia="仿宋_GB2312"/>
          <w:b/>
          <w:sz w:val="32"/>
          <w:lang w:val="en-US" w:eastAsia="zh-CN"/>
        </w:rPr>
      </w:pPr>
    </w:p>
    <w:p w14:paraId="0FE94CB3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eastAsia="仿宋_GB2312"/>
          <w:b/>
          <w:sz w:val="32"/>
        </w:rPr>
      </w:pPr>
    </w:p>
    <w:p w14:paraId="60621946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476" w:firstLineChars="150"/>
        <w:rPr>
          <w:rFonts w:hint="eastAsia"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>部门(单位)名称：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eastAsia="zh-CN"/>
        </w:rPr>
        <w:t>岳阳市云溪区归国华侨联合会</w:t>
      </w:r>
    </w:p>
    <w:p w14:paraId="60CBE5E2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476" w:firstLineChars="150"/>
        <w:rPr>
          <w:rFonts w:hint="eastAsia" w:eastAsia="仿宋_GB2312"/>
          <w:spacing w:val="20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预</w:t>
      </w:r>
      <w:r>
        <w:rPr>
          <w:rFonts w:hint="eastAsia" w:eastAsia="仿宋_GB2312"/>
          <w:spacing w:val="30"/>
          <w:sz w:val="32"/>
          <w:szCs w:val="32"/>
        </w:rPr>
        <w:t xml:space="preserve"> 算 编 码：</w:t>
      </w:r>
      <w:r>
        <w:rPr>
          <w:rFonts w:hint="eastAsia" w:eastAsia="仿宋_GB2312"/>
          <w:spacing w:val="20"/>
          <w:sz w:val="32"/>
          <w:szCs w:val="32"/>
          <w:u w:val="single"/>
        </w:rPr>
        <w:t xml:space="preserve"> </w:t>
      </w:r>
      <w:r>
        <w:rPr>
          <w:rFonts w:hint="eastAsia" w:eastAsia="仿宋_GB2312"/>
          <w:spacing w:val="20"/>
          <w:sz w:val="32"/>
          <w:szCs w:val="32"/>
          <w:u w:val="single"/>
          <w:lang w:val="en-US" w:eastAsia="zh-CN"/>
        </w:rPr>
        <w:t>153001</w:t>
      </w:r>
      <w:r>
        <w:rPr>
          <w:rFonts w:hint="eastAsia" w:eastAsia="仿宋_GB2312"/>
          <w:spacing w:val="20"/>
          <w:sz w:val="32"/>
          <w:szCs w:val="32"/>
          <w:u w:val="single"/>
        </w:rPr>
        <w:t xml:space="preserve">      </w:t>
      </w:r>
      <w:r>
        <w:rPr>
          <w:rFonts w:hint="eastAsia" w:eastAsia="仿宋_GB2312"/>
          <w:spacing w:val="20"/>
          <w:sz w:val="32"/>
          <w:szCs w:val="32"/>
          <w:u w:val="single"/>
          <w:lang w:val="en-US" w:eastAsia="zh-CN"/>
        </w:rPr>
        <w:t xml:space="preserve">         </w:t>
      </w:r>
    </w:p>
    <w:p w14:paraId="7F8F353B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476" w:firstLineChars="15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评价方式：部门（单位）绩效自评</w:t>
      </w:r>
    </w:p>
    <w:p w14:paraId="5687E549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476" w:firstLineChars="15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评价机构：部门（单位）评价组   </w:t>
      </w:r>
    </w:p>
    <w:p w14:paraId="1D5E79CA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2188" w:firstLineChars="690"/>
        <w:rPr>
          <w:rFonts w:hint="eastAsia" w:eastAsia="仿宋_GB2312"/>
          <w:sz w:val="32"/>
        </w:rPr>
      </w:pPr>
    </w:p>
    <w:p w14:paraId="76D35EBD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2188" w:firstLineChars="690"/>
        <w:rPr>
          <w:rFonts w:hint="eastAsia" w:eastAsia="仿宋_GB2312"/>
          <w:sz w:val="32"/>
        </w:rPr>
      </w:pPr>
    </w:p>
    <w:p w14:paraId="27689768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2188" w:firstLineChars="690"/>
        <w:rPr>
          <w:rFonts w:hint="eastAsia" w:eastAsia="仿宋_GB2312"/>
          <w:sz w:val="32"/>
        </w:rPr>
      </w:pPr>
    </w:p>
    <w:p w14:paraId="02C3CF16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jc w:val="center"/>
        <w:rPr>
          <w:rFonts w:hint="eastAsia" w:eastAsia="仿宋_GB2312"/>
          <w:sz w:val="32"/>
        </w:rPr>
      </w:pPr>
    </w:p>
    <w:p w14:paraId="6DD0C41E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jc w:val="center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  <w:lang w:val="en-US" w:eastAsia="zh-CN"/>
        </w:rPr>
        <w:t xml:space="preserve">         </w:t>
      </w:r>
      <w:r>
        <w:rPr>
          <w:rFonts w:hint="eastAsia" w:eastAsia="仿宋_GB2312"/>
          <w:sz w:val="32"/>
        </w:rPr>
        <w:t>报告日期：</w:t>
      </w:r>
      <w:r>
        <w:rPr>
          <w:rFonts w:hint="eastAsia" w:eastAsia="仿宋_GB2312"/>
          <w:sz w:val="32"/>
          <w:lang w:val="en-US" w:eastAsia="zh-CN"/>
        </w:rPr>
        <w:t>2025</w:t>
      </w:r>
      <w:r>
        <w:rPr>
          <w:rFonts w:hint="eastAsia" w:eastAsia="仿宋_GB2312"/>
          <w:sz w:val="32"/>
        </w:rPr>
        <w:t xml:space="preserve"> 年 </w:t>
      </w:r>
      <w:r>
        <w:rPr>
          <w:rFonts w:hint="eastAsia" w:eastAsia="仿宋_GB2312"/>
          <w:sz w:val="32"/>
          <w:lang w:val="en-US" w:eastAsia="zh-CN"/>
        </w:rPr>
        <w:t>6</w:t>
      </w:r>
      <w:r>
        <w:rPr>
          <w:rFonts w:hint="eastAsia" w:eastAsia="仿宋_GB2312"/>
          <w:sz w:val="32"/>
        </w:rPr>
        <w:t xml:space="preserve">  月 </w:t>
      </w:r>
      <w:r>
        <w:rPr>
          <w:rFonts w:hint="eastAsia" w:eastAsia="仿宋_GB2312"/>
          <w:sz w:val="32"/>
          <w:lang w:val="en-US" w:eastAsia="zh-CN"/>
        </w:rPr>
        <w:t>30</w:t>
      </w:r>
      <w:r>
        <w:rPr>
          <w:rFonts w:hint="eastAsia" w:eastAsia="仿宋_GB2312"/>
          <w:sz w:val="32"/>
        </w:rPr>
        <w:t xml:space="preserve"> 日</w:t>
      </w:r>
    </w:p>
    <w:p w14:paraId="0B993AB5">
      <w:pPr>
        <w:keepNext w:val="0"/>
        <w:keepLines w:val="0"/>
        <w:pageBreakBefore w:val="0"/>
        <w:kinsoku/>
        <w:overflowPunct/>
        <w:topLinePunct w:val="0"/>
        <w:autoSpaceDE/>
        <w:autoSpaceDN w:val="0"/>
        <w:bidi w:val="0"/>
        <w:spacing w:line="560" w:lineRule="exact"/>
        <w:jc w:val="center"/>
        <w:textAlignment w:val="center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lang w:val="en-US" w:eastAsia="zh-CN"/>
        </w:rPr>
        <w:t xml:space="preserve">          </w:t>
      </w:r>
      <w:r>
        <w:rPr>
          <w:rFonts w:hint="eastAsia" w:eastAsia="仿宋_GB2312"/>
          <w:sz w:val="32"/>
          <w:lang w:eastAsia="zh-CN"/>
        </w:rPr>
        <w:t>岳阳市云溪区归国华侨联合会</w:t>
      </w:r>
      <w:r>
        <w:rPr>
          <w:rFonts w:hint="eastAsia" w:eastAsia="仿宋_GB2312"/>
          <w:sz w:val="32"/>
          <w:szCs w:val="32"/>
        </w:rPr>
        <w:t>（制）</w:t>
      </w:r>
    </w:p>
    <w:p w14:paraId="205C555C">
      <w:pPr>
        <w:pStyle w:val="12"/>
        <w:rPr>
          <w:rFonts w:hint="eastAsia" w:eastAsia="仿宋_GB2312"/>
          <w:sz w:val="32"/>
          <w:szCs w:val="32"/>
        </w:rPr>
      </w:pPr>
    </w:p>
    <w:p w14:paraId="5D825FB6">
      <w:pPr>
        <w:pStyle w:val="12"/>
        <w:rPr>
          <w:rFonts w:hint="eastAsia" w:eastAsia="仿宋_GB2312"/>
          <w:sz w:val="32"/>
          <w:szCs w:val="32"/>
        </w:rPr>
      </w:pPr>
    </w:p>
    <w:p w14:paraId="6ED1EF0C">
      <w:pPr>
        <w:pStyle w:val="12"/>
        <w:rPr>
          <w:rFonts w:hint="eastAsia" w:eastAsia="仿宋_GB2312"/>
          <w:sz w:val="32"/>
          <w:szCs w:val="32"/>
        </w:rPr>
      </w:pPr>
    </w:p>
    <w:p w14:paraId="6121568E">
      <w:pPr>
        <w:pStyle w:val="12"/>
        <w:rPr>
          <w:rFonts w:hint="eastAsia" w:eastAsia="仿宋_GB2312"/>
          <w:sz w:val="32"/>
          <w:szCs w:val="32"/>
        </w:rPr>
      </w:pPr>
    </w:p>
    <w:p w14:paraId="4A99DC29">
      <w:pPr>
        <w:pStyle w:val="12"/>
        <w:rPr>
          <w:rFonts w:hint="eastAsia" w:eastAsia="仿宋_GB2312"/>
          <w:sz w:val="32"/>
          <w:szCs w:val="32"/>
        </w:rPr>
      </w:pPr>
    </w:p>
    <w:p w14:paraId="7A29E718">
      <w:pPr>
        <w:pStyle w:val="12"/>
        <w:rPr>
          <w:rFonts w:hint="eastAsia" w:eastAsia="仿宋_GB2312"/>
          <w:sz w:val="32"/>
          <w:szCs w:val="32"/>
        </w:rPr>
        <w:sectPr>
          <w:pgSz w:w="11906" w:h="16838"/>
          <w:pgMar w:top="1588" w:right="1588" w:bottom="1588" w:left="1588" w:header="851" w:footer="992" w:gutter="0"/>
          <w:pgNumType w:start="1"/>
          <w:cols w:space="720" w:num="1"/>
          <w:titlePg/>
          <w:docGrid w:type="linesAndChars" w:linePitch="602" w:charSpace="-782"/>
        </w:sectPr>
      </w:pPr>
    </w:p>
    <w:p w14:paraId="60822BD3"/>
    <w:p w14:paraId="3F95A430">
      <w:pPr>
        <w:keepNext w:val="0"/>
        <w:keepLines w:val="0"/>
        <w:pageBreakBefore w:val="0"/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91"/>
        <w:jc w:val="center"/>
        <w:textAlignment w:val="auto"/>
        <w:outlineLvl w:val="0"/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/>
        </w:rPr>
        <w:t>整体支出绩效自评表</w:t>
      </w:r>
    </w:p>
    <w:tbl>
      <w:tblPr>
        <w:tblStyle w:val="7"/>
        <w:tblW w:w="5495" w:type="pct"/>
        <w:tblInd w:w="-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856"/>
        <w:gridCol w:w="887"/>
        <w:gridCol w:w="412"/>
        <w:gridCol w:w="913"/>
        <w:gridCol w:w="164"/>
        <w:gridCol w:w="889"/>
        <w:gridCol w:w="1132"/>
        <w:gridCol w:w="837"/>
        <w:gridCol w:w="708"/>
        <w:gridCol w:w="800"/>
        <w:gridCol w:w="939"/>
        <w:gridCol w:w="78"/>
      </w:tblGrid>
      <w:tr w14:paraId="42761D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8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426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预算部门名称</w:t>
            </w:r>
          </w:p>
        </w:tc>
        <w:tc>
          <w:tcPr>
            <w:tcW w:w="4141" w:type="pct"/>
            <w:gridSpan w:val="11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26B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岳阳市云溪区归国华侨联合会</w:t>
            </w:r>
          </w:p>
        </w:tc>
      </w:tr>
      <w:tr w14:paraId="7767DE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8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517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年度预算申请</w:t>
            </w:r>
          </w:p>
          <w:p w14:paraId="1C670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(万元)</w:t>
            </w:r>
          </w:p>
        </w:tc>
        <w:tc>
          <w:tcPr>
            <w:tcW w:w="69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0353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C24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年初预算数(万元)</w:t>
            </w:r>
          </w:p>
        </w:tc>
        <w:tc>
          <w:tcPr>
            <w:tcW w:w="562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327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全年预算数（万元）</w:t>
            </w:r>
          </w:p>
        </w:tc>
        <w:tc>
          <w:tcPr>
            <w:tcW w:w="6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A1B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全年执行数（万元）</w:t>
            </w:r>
          </w:p>
        </w:tc>
        <w:tc>
          <w:tcPr>
            <w:tcW w:w="824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54A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4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5BF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执行率</w:t>
            </w:r>
          </w:p>
        </w:tc>
        <w:tc>
          <w:tcPr>
            <w:tcW w:w="54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436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</w:tr>
      <w:tr w14:paraId="00EE2E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58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FBAD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6F2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48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A0D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36.19</w:t>
            </w:r>
          </w:p>
        </w:tc>
        <w:tc>
          <w:tcPr>
            <w:tcW w:w="56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1BB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43.16</w:t>
            </w:r>
          </w:p>
        </w:tc>
        <w:tc>
          <w:tcPr>
            <w:tcW w:w="6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953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43.16</w:t>
            </w:r>
          </w:p>
        </w:tc>
        <w:tc>
          <w:tcPr>
            <w:tcW w:w="824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D3D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E9C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4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076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10.00</w:t>
            </w:r>
          </w:p>
        </w:tc>
      </w:tr>
      <w:tr w14:paraId="2EE776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58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1DCD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7" w:type="pct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885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按收入性质分：</w:t>
            </w:r>
          </w:p>
        </w:tc>
        <w:tc>
          <w:tcPr>
            <w:tcW w:w="1794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47A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按支出性质分：</w:t>
            </w:r>
          </w:p>
        </w:tc>
      </w:tr>
      <w:tr w14:paraId="0B0930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858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3464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BFC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一般公共预算：</w:t>
            </w:r>
          </w:p>
        </w:tc>
        <w:tc>
          <w:tcPr>
            <w:tcW w:w="1653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189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43.16</w:t>
            </w:r>
          </w:p>
        </w:tc>
        <w:tc>
          <w:tcPr>
            <w:tcW w:w="824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1FF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其中:基本支出：</w:t>
            </w:r>
          </w:p>
        </w:tc>
        <w:tc>
          <w:tcPr>
            <w:tcW w:w="969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5A9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37.38</w:t>
            </w:r>
          </w:p>
        </w:tc>
      </w:tr>
      <w:tr w14:paraId="1DFB6C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58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9A4D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D41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政府性基金拨款：</w:t>
            </w:r>
          </w:p>
        </w:tc>
        <w:tc>
          <w:tcPr>
            <w:tcW w:w="1653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246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</w:t>
            </w:r>
          </w:p>
        </w:tc>
        <w:tc>
          <w:tcPr>
            <w:tcW w:w="824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AE9A3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9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20F3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CA71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58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A701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A1F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纳入专户管理的非税收入拨款：</w:t>
            </w:r>
          </w:p>
        </w:tc>
        <w:tc>
          <w:tcPr>
            <w:tcW w:w="1653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1FE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</w:t>
            </w:r>
          </w:p>
        </w:tc>
        <w:tc>
          <w:tcPr>
            <w:tcW w:w="824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3E1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项目支出：</w:t>
            </w:r>
          </w:p>
        </w:tc>
        <w:tc>
          <w:tcPr>
            <w:tcW w:w="969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45D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5.78</w:t>
            </w:r>
          </w:p>
        </w:tc>
      </w:tr>
      <w:tr w14:paraId="652D2D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858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3ED9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7AC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653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B4B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824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F52FD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9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C338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183B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858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B76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2347" w:type="pct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FD2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1794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156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实际完成情况</w:t>
            </w:r>
          </w:p>
        </w:tc>
      </w:tr>
      <w:tr w14:paraId="757C4D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58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BDA6E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7" w:type="pct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999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完成年初工作计划；完成省市安排的相关工作；积极招商引资，开展主题教育、普法宣传等活动，帮助侨企和困难侨眷。</w:t>
            </w:r>
          </w:p>
        </w:tc>
        <w:tc>
          <w:tcPr>
            <w:tcW w:w="1794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0FA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完成年初工作计划；完成省市安排的相关工作；积极招商引资，开展主题教育、普法宣传等活动，帮助侨企和困难侨眷。</w:t>
            </w:r>
          </w:p>
        </w:tc>
      </w:tr>
      <w:tr w14:paraId="069E9D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309" w:hRule="atLeast"/>
        </w:trPr>
        <w:tc>
          <w:tcPr>
            <w:tcW w:w="40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8F8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456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37D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473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22E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794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BB5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078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E25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446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BE2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377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E21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427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C1F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  <w:tc>
          <w:tcPr>
            <w:tcW w:w="50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841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偏差原因分析及改进措施</w:t>
            </w:r>
          </w:p>
        </w:tc>
      </w:tr>
      <w:tr w14:paraId="046892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549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E1B19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55277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69160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4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35B72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8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63730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8B67D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5936C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EE17C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1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85807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8368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648" w:hRule="atLeast"/>
        </w:trPr>
        <w:tc>
          <w:tcPr>
            <w:tcW w:w="40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F59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456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97D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88E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794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068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≥4次</w:t>
            </w:r>
          </w:p>
        </w:tc>
        <w:tc>
          <w:tcPr>
            <w:tcW w:w="1078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81C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1AC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＞4次</w:t>
            </w:r>
          </w:p>
        </w:tc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93F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176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BBC7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1993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C997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5061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378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794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824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开展本区涉侨工作宣传履盖面</w:t>
            </w:r>
          </w:p>
        </w:tc>
        <w:tc>
          <w:tcPr>
            <w:tcW w:w="1078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2F6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4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19F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87A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E6F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53B4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BC30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F35E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3B49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DB2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4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00B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联络联谊完成率</w:t>
            </w:r>
          </w:p>
        </w:tc>
        <w:tc>
          <w:tcPr>
            <w:tcW w:w="1078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784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4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BA5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438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05F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F4C3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EEB7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14DA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9105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B494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4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483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侨务慰问工作完成率</w:t>
            </w:r>
          </w:p>
        </w:tc>
        <w:tc>
          <w:tcPr>
            <w:tcW w:w="1078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AE0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4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8E0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E8C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5F9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774D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14F3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1116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3997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2655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EB5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48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497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任务完成时间</w:t>
            </w:r>
          </w:p>
        </w:tc>
        <w:tc>
          <w:tcPr>
            <w:tcW w:w="202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5F1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2024年完成</w:t>
            </w:r>
          </w:p>
        </w:tc>
        <w:tc>
          <w:tcPr>
            <w:tcW w:w="8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8BC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按时完成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35B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19F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B8CE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D72A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B271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2C8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FD0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48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B34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促进我区侨胞经济发展</w:t>
            </w:r>
          </w:p>
        </w:tc>
        <w:tc>
          <w:tcPr>
            <w:tcW w:w="202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517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促进我区侨胞经济发展</w:t>
            </w:r>
          </w:p>
        </w:tc>
        <w:tc>
          <w:tcPr>
            <w:tcW w:w="8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7FE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极大促进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031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6A9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2076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B7FC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AC71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9A8A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1FE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48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1CD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维护归侨、侨眷的合法权益</w:t>
            </w:r>
          </w:p>
        </w:tc>
        <w:tc>
          <w:tcPr>
            <w:tcW w:w="202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19A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及时有效</w:t>
            </w:r>
          </w:p>
        </w:tc>
        <w:tc>
          <w:tcPr>
            <w:tcW w:w="8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FC7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及时有效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9F6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AD0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8E86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6253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F940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061A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9E6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48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A391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2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732E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4D0B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A9F3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0D93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4E48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AC4F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30B5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7851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210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148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1F2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凝聚侨心</w:t>
            </w:r>
          </w:p>
        </w:tc>
        <w:tc>
          <w:tcPr>
            <w:tcW w:w="202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DAE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≥98%</w:t>
            </w:r>
          </w:p>
        </w:tc>
        <w:tc>
          <w:tcPr>
            <w:tcW w:w="8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270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98%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FC5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8CC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490A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F643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9D27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688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7EE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48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54F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202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095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≥98%</w:t>
            </w:r>
          </w:p>
        </w:tc>
        <w:tc>
          <w:tcPr>
            <w:tcW w:w="8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0F1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98%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469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D41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0DD1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EC48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25C9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34F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08B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148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37C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控制预算内</w:t>
            </w:r>
          </w:p>
        </w:tc>
        <w:tc>
          <w:tcPr>
            <w:tcW w:w="202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DA5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≤43.16万元</w:t>
            </w:r>
          </w:p>
        </w:tc>
        <w:tc>
          <w:tcPr>
            <w:tcW w:w="8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F0B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43.16万元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EDA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1F4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14C5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5D21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ECFF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83AE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857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社会成本指标</w:t>
            </w:r>
          </w:p>
        </w:tc>
        <w:tc>
          <w:tcPr>
            <w:tcW w:w="794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3548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8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693C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F02E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D12D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FAD8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FE9F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B6BE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A32F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D8BA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39C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生态环境成本指标</w:t>
            </w:r>
          </w:p>
        </w:tc>
        <w:tc>
          <w:tcPr>
            <w:tcW w:w="794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6063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8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C32A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E9FF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A2A0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581B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21A0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A272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648" w:hRule="atLeast"/>
        </w:trPr>
        <w:tc>
          <w:tcPr>
            <w:tcW w:w="1331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9F4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绩效自评综合得分</w:t>
            </w:r>
          </w:p>
        </w:tc>
        <w:tc>
          <w:tcPr>
            <w:tcW w:w="3626" w:type="pct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ABAA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100分</w:t>
            </w:r>
          </w:p>
        </w:tc>
      </w:tr>
      <w:tr w14:paraId="205CD9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648" w:hRule="atLeast"/>
        </w:trPr>
        <w:tc>
          <w:tcPr>
            <w:tcW w:w="1331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2DE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评价等次</w:t>
            </w:r>
          </w:p>
        </w:tc>
        <w:tc>
          <w:tcPr>
            <w:tcW w:w="3626" w:type="pct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7BCC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24065CED">
      <w:pPr>
        <w:pStyle w:val="10"/>
      </w:pPr>
    </w:p>
    <w:p w14:paraId="73CCB52E">
      <w:pPr>
        <w:pStyle w:val="10"/>
      </w:pPr>
    </w:p>
    <w:p w14:paraId="5DDCC5A8">
      <w:pPr>
        <w:pStyle w:val="10"/>
      </w:pPr>
    </w:p>
    <w:p w14:paraId="1726F603">
      <w:pPr>
        <w:pStyle w:val="10"/>
        <w:ind w:left="0" w:leftChars="0" w:firstLine="0" w:firstLineChars="0"/>
      </w:pPr>
    </w:p>
    <w:p w14:paraId="1EE90E6D">
      <w:pPr>
        <w:pStyle w:val="10"/>
        <w:ind w:left="0" w:leftChars="0" w:firstLine="0" w:firstLineChars="0"/>
      </w:pPr>
    </w:p>
    <w:p w14:paraId="2776AA5F">
      <w:pPr>
        <w:pStyle w:val="10"/>
        <w:ind w:left="0" w:leftChars="0" w:firstLine="0" w:firstLineChars="0"/>
      </w:pPr>
    </w:p>
    <w:p w14:paraId="4B80494D">
      <w:pPr>
        <w:pStyle w:val="10"/>
        <w:ind w:left="0" w:leftChars="0" w:firstLine="0" w:firstLineChars="0"/>
      </w:pPr>
    </w:p>
    <w:p w14:paraId="7E7A5C44">
      <w:pPr>
        <w:pStyle w:val="10"/>
        <w:ind w:left="0" w:leftChars="0" w:firstLine="0" w:firstLineChars="0"/>
      </w:pPr>
    </w:p>
    <w:p w14:paraId="01D605AA">
      <w:pPr>
        <w:pStyle w:val="10"/>
        <w:ind w:left="0" w:leftChars="0" w:firstLine="0" w:firstLineChars="0"/>
      </w:pPr>
    </w:p>
    <w:p w14:paraId="5270AAF7">
      <w:pPr>
        <w:pStyle w:val="10"/>
        <w:ind w:left="0" w:leftChars="0" w:firstLine="0" w:firstLineChars="0"/>
      </w:pPr>
    </w:p>
    <w:tbl>
      <w:tblPr>
        <w:tblStyle w:val="7"/>
        <w:tblW w:w="98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654"/>
        <w:gridCol w:w="3561"/>
        <w:gridCol w:w="1479"/>
        <w:gridCol w:w="3106"/>
      </w:tblGrid>
      <w:tr w14:paraId="23E6D8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9800" w:type="dxa"/>
            <w:gridSpan w:val="4"/>
            <w:noWrap w:val="0"/>
            <w:vAlign w:val="center"/>
          </w:tcPr>
          <w:p w14:paraId="2F7CA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四、评价人员</w:t>
            </w:r>
          </w:p>
        </w:tc>
      </w:tr>
      <w:tr w14:paraId="50FE0A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noWrap w:val="0"/>
            <w:vAlign w:val="center"/>
          </w:tcPr>
          <w:p w14:paraId="50877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姓  名</w:t>
            </w:r>
          </w:p>
        </w:tc>
        <w:tc>
          <w:tcPr>
            <w:tcW w:w="3561" w:type="dxa"/>
            <w:noWrap w:val="0"/>
            <w:vAlign w:val="center"/>
          </w:tcPr>
          <w:p w14:paraId="70038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职务/职称</w:t>
            </w:r>
          </w:p>
        </w:tc>
        <w:tc>
          <w:tcPr>
            <w:tcW w:w="1479" w:type="dxa"/>
            <w:noWrap w:val="0"/>
            <w:vAlign w:val="center"/>
          </w:tcPr>
          <w:p w14:paraId="3EA5F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单  位</w:t>
            </w:r>
          </w:p>
        </w:tc>
        <w:tc>
          <w:tcPr>
            <w:tcW w:w="3106" w:type="dxa"/>
            <w:noWrap w:val="0"/>
            <w:vAlign w:val="center"/>
          </w:tcPr>
          <w:p w14:paraId="19D6D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签  字</w:t>
            </w:r>
          </w:p>
        </w:tc>
      </w:tr>
      <w:tr w14:paraId="7A8048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noWrap w:val="0"/>
            <w:vAlign w:val="center"/>
          </w:tcPr>
          <w:p w14:paraId="053E3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李灿灿</w:t>
            </w:r>
          </w:p>
        </w:tc>
        <w:tc>
          <w:tcPr>
            <w:tcW w:w="3561" w:type="dxa"/>
            <w:noWrap w:val="0"/>
            <w:vAlign w:val="center"/>
          </w:tcPr>
          <w:p w14:paraId="66977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副主席</w:t>
            </w:r>
          </w:p>
        </w:tc>
        <w:tc>
          <w:tcPr>
            <w:tcW w:w="1479" w:type="dxa"/>
            <w:noWrap w:val="0"/>
            <w:vAlign w:val="center"/>
          </w:tcPr>
          <w:p w14:paraId="2FAD6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区侨联</w:t>
            </w:r>
          </w:p>
        </w:tc>
        <w:tc>
          <w:tcPr>
            <w:tcW w:w="3106" w:type="dxa"/>
            <w:noWrap w:val="0"/>
            <w:vAlign w:val="center"/>
          </w:tcPr>
          <w:p w14:paraId="3A174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691169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noWrap w:val="0"/>
            <w:vAlign w:val="center"/>
          </w:tcPr>
          <w:p w14:paraId="2C3BC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刘 妍</w:t>
            </w:r>
          </w:p>
        </w:tc>
        <w:tc>
          <w:tcPr>
            <w:tcW w:w="3561" w:type="dxa"/>
            <w:noWrap w:val="0"/>
            <w:vAlign w:val="center"/>
          </w:tcPr>
          <w:p w14:paraId="7E513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办公室负责人</w:t>
            </w:r>
          </w:p>
        </w:tc>
        <w:tc>
          <w:tcPr>
            <w:tcW w:w="1479" w:type="dxa"/>
            <w:noWrap w:val="0"/>
            <w:vAlign w:val="center"/>
          </w:tcPr>
          <w:p w14:paraId="4AEDF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区侨联</w:t>
            </w:r>
          </w:p>
        </w:tc>
        <w:tc>
          <w:tcPr>
            <w:tcW w:w="3106" w:type="dxa"/>
            <w:noWrap w:val="0"/>
            <w:vAlign w:val="center"/>
          </w:tcPr>
          <w:p w14:paraId="69B09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4CC3BF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noWrap w:val="0"/>
            <w:vAlign w:val="center"/>
          </w:tcPr>
          <w:p w14:paraId="1D52D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561" w:type="dxa"/>
            <w:noWrap w:val="0"/>
            <w:vAlign w:val="center"/>
          </w:tcPr>
          <w:p w14:paraId="1FF01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79" w:type="dxa"/>
            <w:noWrap w:val="0"/>
            <w:vAlign w:val="center"/>
          </w:tcPr>
          <w:p w14:paraId="771A7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106" w:type="dxa"/>
            <w:noWrap w:val="0"/>
            <w:vAlign w:val="center"/>
          </w:tcPr>
          <w:p w14:paraId="7F3E5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26B6C6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noWrap w:val="0"/>
            <w:vAlign w:val="center"/>
          </w:tcPr>
          <w:p w14:paraId="59A37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561" w:type="dxa"/>
            <w:noWrap w:val="0"/>
            <w:vAlign w:val="center"/>
          </w:tcPr>
          <w:p w14:paraId="509D2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79" w:type="dxa"/>
            <w:noWrap w:val="0"/>
            <w:vAlign w:val="center"/>
          </w:tcPr>
          <w:p w14:paraId="2CB5D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106" w:type="dxa"/>
            <w:noWrap w:val="0"/>
            <w:vAlign w:val="center"/>
          </w:tcPr>
          <w:p w14:paraId="344CA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7B218B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460" w:hRule="atLeast"/>
          <w:jc w:val="center"/>
        </w:trPr>
        <w:tc>
          <w:tcPr>
            <w:tcW w:w="9800" w:type="dxa"/>
            <w:gridSpan w:val="4"/>
            <w:noWrap w:val="0"/>
            <w:vAlign w:val="center"/>
          </w:tcPr>
          <w:p w14:paraId="2FA94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评价组组长（签字）：</w:t>
            </w:r>
          </w:p>
          <w:p w14:paraId="2B758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43A66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06100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7B52A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5E8F9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                                                             年    月    日</w:t>
            </w:r>
          </w:p>
        </w:tc>
      </w:tr>
      <w:tr w14:paraId="6332EE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190" w:hRule="atLeast"/>
          <w:jc w:val="center"/>
        </w:trPr>
        <w:tc>
          <w:tcPr>
            <w:tcW w:w="9800" w:type="dxa"/>
            <w:gridSpan w:val="4"/>
            <w:noWrap w:val="0"/>
            <w:vAlign w:val="center"/>
          </w:tcPr>
          <w:p w14:paraId="787E9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部门（单位）意见：</w:t>
            </w:r>
          </w:p>
          <w:p w14:paraId="40E52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63B6F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                                       部门（单位）负责人（签章）：</w:t>
            </w:r>
          </w:p>
          <w:p w14:paraId="36EC0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                                                             年    月    日</w:t>
            </w:r>
          </w:p>
        </w:tc>
      </w:tr>
      <w:tr w14:paraId="5BBAA4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560" w:hRule="atLeast"/>
          <w:jc w:val="center"/>
        </w:trPr>
        <w:tc>
          <w:tcPr>
            <w:tcW w:w="9800" w:type="dxa"/>
            <w:gridSpan w:val="4"/>
            <w:noWrap w:val="0"/>
            <w:vAlign w:val="center"/>
          </w:tcPr>
          <w:p w14:paraId="1B384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财政部门归口业务股室意见：</w:t>
            </w:r>
          </w:p>
          <w:p w14:paraId="3F2EA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sz w:val="24"/>
              </w:rPr>
            </w:pPr>
          </w:p>
          <w:p w14:paraId="06D3C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财政部门归口业务股室负责人（签章）：</w:t>
            </w:r>
          </w:p>
          <w:p w14:paraId="606E6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                     年    月   日</w:t>
            </w:r>
          </w:p>
        </w:tc>
      </w:tr>
    </w:tbl>
    <w:p w14:paraId="3B230F18">
      <w:pPr>
        <w:pStyle w:val="10"/>
        <w:ind w:left="0" w:leftChars="0" w:firstLine="0" w:firstLineChars="0"/>
        <w:rPr>
          <w:rFonts w:hint="eastAsia" w:ascii="宋体" w:hAnsi="宋体" w:eastAsia="宋体" w:cs="宋体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Cs/>
          <w:sz w:val="28"/>
          <w:szCs w:val="28"/>
        </w:rPr>
        <w:t>填报人（签名）：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刘妍</w:t>
      </w:r>
      <w:r>
        <w:rPr>
          <w:rFonts w:hint="eastAsia" w:ascii="宋体" w:hAnsi="宋体" w:eastAsia="宋体" w:cs="宋体"/>
          <w:bCs/>
          <w:sz w:val="28"/>
          <w:szCs w:val="28"/>
        </w:rPr>
        <w:t xml:space="preserve">                联系电话：1557403127</w:t>
      </w:r>
    </w:p>
    <w:p w14:paraId="00F57DE8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15459DD5">
      <w:pPr>
        <w:bidi w:val="0"/>
        <w:jc w:val="center"/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岳阳市云溪区归国华侨联合会</w:t>
      </w:r>
    </w:p>
    <w:p w14:paraId="1F658407">
      <w:pPr>
        <w:bidi w:val="0"/>
        <w:jc w:val="center"/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部门整体支出绩效自评报告</w:t>
      </w:r>
    </w:p>
    <w:p w14:paraId="1F4FF666">
      <w:pPr>
        <w:bidi w:val="0"/>
      </w:pPr>
    </w:p>
    <w:p w14:paraId="19F005E4">
      <w:pPr>
        <w:pStyle w:val="2"/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一、部门（单位）概况</w:t>
      </w:r>
    </w:p>
    <w:p w14:paraId="27EE9530">
      <w:pPr>
        <w:pStyle w:val="3"/>
        <w:bidi w:val="0"/>
        <w:ind w:left="0" w:leftChars="0" w:firstLine="0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（一）机构设置情况</w:t>
      </w:r>
    </w:p>
    <w:p w14:paraId="5D527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岳阳市云溪区归国华侨联合会内设机构包括：综合办公室。</w:t>
      </w:r>
    </w:p>
    <w:p w14:paraId="755361B7">
      <w:pPr>
        <w:pStyle w:val="3"/>
        <w:bidi w:val="0"/>
        <w:ind w:left="0" w:leftChars="0" w:firstLine="0" w:firstLineChars="0"/>
        <w:rPr>
          <w:rFonts w:hint="default" w:ascii="黑体" w:hAnsi="黑体" w:eastAsia="黑体" w:cs="黑体"/>
        </w:rPr>
      </w:pPr>
      <w:r>
        <w:rPr>
          <w:rFonts w:hint="eastAsia" w:ascii="黑体" w:hAnsi="黑体" w:eastAsia="黑体" w:cs="黑体"/>
          <w:lang w:eastAsia="zh-CN"/>
        </w:rPr>
        <w:t>（</w:t>
      </w:r>
      <w:r>
        <w:rPr>
          <w:rFonts w:hint="eastAsia" w:ascii="黑体" w:hAnsi="黑体" w:eastAsia="黑体" w:cs="黑体"/>
          <w:lang w:val="en-US" w:eastAsia="zh-CN"/>
        </w:rPr>
        <w:t>二</w:t>
      </w:r>
      <w:r>
        <w:rPr>
          <w:rFonts w:hint="eastAsia" w:ascii="黑体" w:hAnsi="黑体" w:eastAsia="黑体" w:cs="黑体"/>
          <w:lang w:eastAsia="zh-CN"/>
        </w:rPr>
        <w:t>）</w:t>
      </w:r>
      <w:r>
        <w:rPr>
          <w:rFonts w:hint="default" w:ascii="黑体" w:hAnsi="黑体" w:eastAsia="黑体" w:cs="黑体"/>
        </w:rPr>
        <w:t>人员编制情况</w:t>
      </w:r>
    </w:p>
    <w:p w14:paraId="4F196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2024年末实有人数2人，其中编制人数2人。</w:t>
      </w:r>
    </w:p>
    <w:p w14:paraId="6FDD81F4">
      <w:pPr>
        <w:pStyle w:val="3"/>
        <w:bidi w:val="0"/>
        <w:ind w:left="0" w:leftChars="0" w:firstLine="0" w:firstLineChars="0"/>
        <w:rPr>
          <w:rFonts w:hint="default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（</w:t>
      </w:r>
      <w:r>
        <w:rPr>
          <w:rFonts w:hint="eastAsia" w:ascii="黑体" w:hAnsi="黑体" w:eastAsia="黑体" w:cs="黑体"/>
          <w:lang w:val="en-US" w:eastAsia="zh-CN"/>
        </w:rPr>
        <w:t>三</w:t>
      </w:r>
      <w:r>
        <w:rPr>
          <w:rFonts w:hint="eastAsia" w:ascii="黑体" w:hAnsi="黑体" w:eastAsia="黑体" w:cs="黑体"/>
          <w:lang w:eastAsia="zh-CN"/>
        </w:rPr>
        <w:t>）</w:t>
      </w:r>
      <w:r>
        <w:rPr>
          <w:rFonts w:hint="default" w:ascii="黑体" w:hAnsi="黑体" w:eastAsia="黑体" w:cs="黑体"/>
          <w:lang w:eastAsia="zh-CN"/>
        </w:rPr>
        <w:t>主要职能职责</w:t>
      </w:r>
    </w:p>
    <w:p w14:paraId="75413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1、宣传、贯彻党和政府的方针、政策，团结动员广大归侨、侨眷积极投身我区改革开放和社会主义现代化建设。 </w:t>
      </w:r>
    </w:p>
    <w:p w14:paraId="763A3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、依法维护归侨、侨眷的合法权益，依法开展相关活动。 </w:t>
      </w:r>
    </w:p>
    <w:p w14:paraId="3D147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、制定全区侨联发展规划和工作计划，并组织实施；负责全区归侨、侨眷代表大会及其委员会的决议、决定的实施。 </w:t>
      </w:r>
    </w:p>
    <w:p w14:paraId="424E6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4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、积极参政议政，参与政治协商，发挥民主监督作用，参与人大、政协的侨界代表、委员人选的协商和推荐。 </w:t>
      </w:r>
    </w:p>
    <w:p w14:paraId="49E1F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、围绕经济建设，凝聚侨心，发挥侨力，引资引智，为侨服务。 </w:t>
      </w:r>
    </w:p>
    <w:p w14:paraId="35AF3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、密切与海外侨胞及其社团的联系，广泛了解归侨、侨眷和海外侨胞的意见和要求，为区委制订侨务政策提出建议和意见。 </w:t>
      </w:r>
    </w:p>
    <w:p w14:paraId="57B13B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7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、完成区委交办的其他任务。 </w:t>
      </w:r>
    </w:p>
    <w:p w14:paraId="4612DF6D">
      <w:pPr>
        <w:pStyle w:val="3"/>
        <w:bidi w:val="0"/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（四）绩效目标设定情况</w:t>
      </w:r>
    </w:p>
    <w:p w14:paraId="487AD8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完成年初工作计划；完成省市安排的相关工作；积极招商引资，开展主题教育、普法宣传等活动，帮助侨企和困难侨眷。</w:t>
      </w:r>
    </w:p>
    <w:p w14:paraId="2709E568">
      <w:pPr>
        <w:pStyle w:val="3"/>
        <w:bidi w:val="0"/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二、一般公共预算支出情况</w:t>
      </w:r>
    </w:p>
    <w:p w14:paraId="1B45C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根据《会计法》《预算法》《行政单位财务规则》等法律和财政部及省财政厅有关财务规章的规定，明确了经费审批权限及程序，经费预算管理、财务经费管理、资产购置与处置、财务监督等。针对“三公”经费探索建立公用经费标准定额体系，开展公用经费使用监督和绩效评估，进一步落实厉行节约的各项规定，确保“三公经费”使用合理合规等。上述制度规定基本执行到位。</w:t>
      </w:r>
    </w:p>
    <w:p w14:paraId="50C14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2024决算支出43.16万元，其中：基本支出37.38万元，项目支出5.78万元。</w:t>
      </w:r>
    </w:p>
    <w:p w14:paraId="5371E693">
      <w:pPr>
        <w:pStyle w:val="4"/>
        <w:numPr>
          <w:ilvl w:val="0"/>
          <w:numId w:val="1"/>
        </w:numPr>
        <w:bidi w:val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基本支出情况</w:t>
      </w:r>
    </w:p>
    <w:p w14:paraId="6D94D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基本支出用于为保障各部门、机构正常运转、完成日常工作任务而发生的支出，包括人员经费和公用经费。</w:t>
      </w:r>
    </w:p>
    <w:p w14:paraId="200F2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2024全年基本支出37.38万元，其中：工资福利支出27.13万元、商品和服务支出10.25万元、对个人和家庭的补助0万元、债务利息及费用支出0万元、资本性支出0万元、其他支出0万元。</w:t>
      </w:r>
    </w:p>
    <w:p w14:paraId="3EA671F3">
      <w:pPr>
        <w:pStyle w:val="4"/>
        <w:numPr>
          <w:ilvl w:val="0"/>
          <w:numId w:val="1"/>
        </w:numPr>
        <w:bidi w:val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项目支出情况</w:t>
      </w:r>
    </w:p>
    <w:p w14:paraId="1DA4D9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2024年本部门项目支出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10.25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万元，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其中联络联谊0.9万元，占比15.57%;侨眷慰问项目支出2.60万元，占比45%。</w:t>
      </w:r>
    </w:p>
    <w:p w14:paraId="3EC9A183">
      <w:pPr>
        <w:pStyle w:val="4"/>
        <w:numPr>
          <w:ilvl w:val="0"/>
          <w:numId w:val="1"/>
        </w:numPr>
        <w:bidi w:val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“三公”经费的使用和管理情况</w:t>
      </w:r>
    </w:p>
    <w:p w14:paraId="1F4B1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我单位2024年严格贯彻中央八项规定精神，厉行节约。“三公”经费的使用严格按照文件范围执行，财务人员严把票据审核的关卡，确保资金的合理使用。2024年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初财政批复局机关“三公”经费预算数为0.5万元，其中：公务接待费0.5万元、因公出国（境）费用0万元、公务用车购置及运行费0万元。全年决算单位支出“三公”经费为0.2万元，其中：公务接待费0.2万元、因公出国（境）费用0万元、公务用车购置及运行费0万元。</w:t>
      </w:r>
    </w:p>
    <w:p w14:paraId="440A6D68">
      <w:pPr>
        <w:pStyle w:val="2"/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三、政府性基金预算支出情况</w:t>
      </w:r>
    </w:p>
    <w:p w14:paraId="03F11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2024年本单位无政府性基金预算支出。</w:t>
      </w:r>
    </w:p>
    <w:p w14:paraId="6D0D154D">
      <w:pPr>
        <w:pStyle w:val="2"/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四、国有资本经营预算支出情况</w:t>
      </w:r>
    </w:p>
    <w:p w14:paraId="2EBFA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2024年本单位无国有资本经营预算支出。</w:t>
      </w:r>
    </w:p>
    <w:p w14:paraId="28162172">
      <w:pPr>
        <w:pStyle w:val="2"/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五、社会保险基金预算支出情况</w:t>
      </w:r>
    </w:p>
    <w:p w14:paraId="05033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2024年本单位无社会保险基金预算支出。</w:t>
      </w:r>
    </w:p>
    <w:p w14:paraId="78FA7F2B">
      <w:pPr>
        <w:pStyle w:val="2"/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六、部门整体支出绩效情况</w:t>
      </w:r>
    </w:p>
    <w:p w14:paraId="194BEB0B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atLeast"/>
        <w:ind w:left="0" w:leftChars="0" w:firstLine="0" w:firstLineChars="0"/>
        <w:textAlignment w:val="auto"/>
        <w:rPr>
          <w:rFonts w:hint="default"/>
        </w:rPr>
      </w:pPr>
      <w:r>
        <w:rPr>
          <w:rFonts w:hint="default"/>
        </w:rPr>
        <w:t>（一）综合评价结论</w:t>
      </w:r>
    </w:p>
    <w:p w14:paraId="3A398E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经自评，2024年度我单位部门整体支出绩效评价结论为“优”，自查评分为100分。</w:t>
      </w:r>
    </w:p>
    <w:p w14:paraId="0BE94D4E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atLeast"/>
        <w:ind w:left="0" w:leftChars="0" w:firstLine="0" w:firstLineChars="0"/>
        <w:textAlignment w:val="auto"/>
        <w:rPr>
          <w:rFonts w:hint="default"/>
        </w:rPr>
      </w:pPr>
      <w:r>
        <w:rPr>
          <w:rFonts w:hint="default"/>
        </w:rPr>
        <w:t>（二）评价指标分析</w:t>
      </w:r>
    </w:p>
    <w:p w14:paraId="539CA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atLeast"/>
        <w:ind w:right="-105" w:rightChars="-5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1、产出指标情况分析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。产出目标主要是从部门履职方面进行分析，总分值为50分，评价得分50分，得分率100%。</w:t>
      </w:r>
    </w:p>
    <w:p w14:paraId="2EC25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(一) 数量指标完成情况</w:t>
      </w:r>
    </w:p>
    <w:p w14:paraId="45B2C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firstLine="480" w:firstLineChars="15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1.思想引领活动组织数量：组织线上线下学习活动，深入学习习近平新时代中国特色社会主义思想等重大会议精神。11月组织举办“侨心学全会，共话新征程”学习交流座谈会1场。</w:t>
      </w:r>
    </w:p>
    <w:p w14:paraId="2ACE3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firstLine="480" w:firstLineChars="15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2.联系服务侨界群众数量：扎实开展走访慰问活动，全年走访侨胞侨眷200余人次。组织或参与“送医送药送健康”义诊活动、教师节慰问、端午节主题活动等为侨服务活动。</w:t>
      </w:r>
    </w:p>
    <w:p w14:paraId="0BFA8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firstLine="480" w:firstLineChars="15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3.侨界代表参与及推荐数量：成功邀请3名侨界代表参加第二届湖南省“聚侨兴湘·开放岳阳”活动。推选1名代表参加省第九次归侨侨眷代表大会，5名代表参加市第七次归侨侨眷代表大会（其中2名当选市侨联委员）。推荐上报归侨侨眷先进个人1名、侨联系统先进工作者1名、先进集体1家。</w:t>
      </w:r>
    </w:p>
    <w:p w14:paraId="60BEB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firstLine="480" w:firstLineChars="15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4.为侨服务活动开展数量：9月开展“两重”“两新”送解优专项行动，走访辖区内侨企、联点企业。5月联合多家单位开展义诊活动1次。</w:t>
      </w:r>
    </w:p>
    <w:p w14:paraId="1AE30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firstLine="480" w:firstLineChars="15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5.涉侨宣传普法活动数量：利用“三月三”、全国科普日、“3.15”消费者权益日等节点及线上平台，开展形式多样的涉侨政策法规宣传活动。发放宣传手册、开展宣传讲座。</w:t>
      </w:r>
    </w:p>
    <w:p w14:paraId="533F2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firstLine="480" w:firstLineChars="15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6.困难侨眷帮扶数量与金额：帮助4名困难侨眷申请省级扶侨帮困重点帮扶资金，共计1.4万元。</w:t>
      </w:r>
    </w:p>
    <w:p w14:paraId="02763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firstLine="480" w:firstLineChars="15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7.侨情基础工作数量：依托全市侨情摸底，组织全区五个镇（街道）常态化完善侨情数据库，建立动态机制。9月联合区委统战部深入村（社区）开展侨务工作调研。</w:t>
      </w:r>
    </w:p>
    <w:p w14:paraId="5DA4C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(二) 质量指标完成情况​</w:t>
      </w:r>
    </w:p>
    <w:p w14:paraId="0B74B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firstLine="480" w:firstLineChars="15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1.思想引领成效：坚持正确政治方向，不断增强“四个意识”、坚定“四个自信”、做到“两个维护”、捍卫“两个确立”，有效引导侨界群众听党话跟党走，凝聚思想共识。</w:t>
      </w:r>
    </w:p>
    <w:p w14:paraId="5F474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firstLine="480" w:firstLineChars="15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2.​招商引资与服务工作质量：​​ 积极参与省级重大活动筹备，精准对接重点侨界代表人士。通过“送解优”行动主动了解企业困难，形成“问题清单”对接相关部门协调解决。</w:t>
      </w:r>
    </w:p>
    <w:p w14:paraId="7615C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firstLine="480" w:firstLineChars="15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3.代表推选与表彰质量：推选的侨界代表成功参加省市侨代会，其中2名当选市侨联委员，推荐的个人和集体参与市级先进评选。</w:t>
      </w:r>
    </w:p>
    <w:p w14:paraId="7CDEB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firstLine="480" w:firstLineChars="15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4.为侨服务质量：坚持“以侨为本，为侨服务”宗旨，利用传统节日开展慰问，“送医送药送健康”等特色活动满足侨界群众需求。</w:t>
      </w:r>
    </w:p>
    <w:p w14:paraId="312D1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firstLine="480" w:firstLineChars="15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5.护侨工作质量：通过线上线下结合方式，广泛开展涉侨政策法规宣传，营造依法护侨氛围。建立健全侨务问题收集台账制度。</w:t>
      </w:r>
    </w:p>
    <w:p w14:paraId="63AAA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firstLine="480" w:firstLineChars="15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6.“侨胞之家”建设质量：持续发挥“侨胞之家”阵地作用，加强与侨界群众联系交流，提供支持服务。</w:t>
      </w:r>
    </w:p>
    <w:p w14:paraId="1BA6C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firstLine="480" w:firstLineChars="15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7.侨情调研工作质量：深入基层开展侨务工作调研，收集问题情况，进行业务指导，旨在进一步夯实侨情基础。</w:t>
      </w:r>
    </w:p>
    <w:p w14:paraId="4A682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（三）时效指标完成情况​</w:t>
      </w:r>
    </w:p>
    <w:p w14:paraId="471CF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firstLine="480" w:firstLineChars="15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各项工作均于2024年12月31日前完成。</w:t>
      </w:r>
    </w:p>
    <w:p w14:paraId="617400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2、效益指标情况分析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。效益目标主要是从社会、经济、生态、可持续影响四个方面进行分析，总分值为30分，评价得分30分，得分率100%。</w:t>
      </w:r>
    </w:p>
    <w:p w14:paraId="144DE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（一）经济效益指标</w:t>
      </w:r>
    </w:p>
    <w:p w14:paraId="3AA4F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firstLine="480" w:firstLineChars="15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1.通过参与“迎老乡、回故乡、建家乡”、“湘商回归”及省级招商引资活动，积极推动引资引智，服务区域经济发展。</w:t>
      </w:r>
    </w:p>
    <w:p w14:paraId="6BA50B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firstLine="480" w:firstLineChars="15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2.开展“送解优”专项行动，主动服务企业，协调解决生产经营困难，助力优化营商环境。</w:t>
      </w:r>
    </w:p>
    <w:p w14:paraId="4989F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（二）社会效益指标</w:t>
      </w:r>
    </w:p>
    <w:p w14:paraId="734CE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firstLine="480" w:firstLineChars="15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1.有效凝聚侨心，增强侨界群众的国家认同感和归属感。</w:t>
      </w:r>
    </w:p>
    <w:p w14:paraId="66BF75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firstLine="480" w:firstLineChars="15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2.“送医送药送健康”义诊活动等直接惠及侨界群众，提升其获得感幸福感。</w:t>
      </w:r>
    </w:p>
    <w:p w14:paraId="30AB80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firstLine="480" w:firstLineChars="15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3.涉侨政策法规宣传普及，提升社会对侨务工作的认知度和依法护侨意识。</w:t>
      </w:r>
    </w:p>
    <w:p w14:paraId="1C63B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firstLine="480" w:firstLineChars="15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4.帮扶困难侨眷，体现组织关怀，促进社会和谐稳定。</w:t>
      </w:r>
    </w:p>
    <w:p w14:paraId="48A6A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（三）社会效益指标</w:t>
      </w:r>
    </w:p>
    <w:p w14:paraId="3208FD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firstLine="480" w:firstLineChars="15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1.常态化完善侨情数据库和动态机制，为精准施策奠定长远基础。</w:t>
      </w:r>
    </w:p>
    <w:p w14:paraId="46497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firstLine="480" w:firstLineChars="15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2.持续发挥“侨胞之家”阵地作用，打造长期可靠的为侨服务平台。</w:t>
      </w:r>
    </w:p>
    <w:p w14:paraId="746A3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firstLine="480" w:firstLineChars="15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3.加强思想引领和侨文化挖掘（如黄淑纪念馆），厚植爱国爱乡情怀，促进侨务工作可持续发展。</w:t>
      </w:r>
    </w:p>
    <w:p w14:paraId="75669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firstLine="480" w:firstLineChars="15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4.侨界代表人士队伍的培养与作用发挥，为未来工作储备力量。</w:t>
      </w:r>
    </w:p>
    <w:p w14:paraId="0A266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3、社会公众或服务对象满意度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。社会公众或服务对象满意度主要是从公众满意度进行分析，总分值为10分，评价得分10分，得分率100%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。</w:t>
      </w:r>
    </w:p>
    <w:p w14:paraId="6B6B8A8C">
      <w:pPr>
        <w:pStyle w:val="2"/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七、存在的问题及原因分析</w:t>
      </w:r>
    </w:p>
    <w:p w14:paraId="5837F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2024我单位无预算支出执行偏离绩效目标的情况。</w:t>
      </w:r>
    </w:p>
    <w:p w14:paraId="43CCDDD3">
      <w:pPr>
        <w:pStyle w:val="2"/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八、下一步改进措施</w:t>
      </w:r>
    </w:p>
    <w:p w14:paraId="62E5C425">
      <w:pPr>
        <w:pStyle w:val="14"/>
        <w:spacing w:line="600" w:lineRule="exact"/>
        <w:ind w:firstLine="643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无。</w:t>
      </w:r>
    </w:p>
    <w:p w14:paraId="44B5819F">
      <w:pPr>
        <w:pStyle w:val="2"/>
        <w:bidi w:val="0"/>
        <w:ind w:left="0" w:leftChars="0" w:firstLine="0" w:firstLineChars="0"/>
        <w:rPr>
          <w:rFonts w:hint="eastAsia"/>
          <w:lang w:val="en-US" w:eastAsia="en-US"/>
        </w:rPr>
      </w:pPr>
      <w:r>
        <w:rPr>
          <w:rFonts w:hint="eastAsia"/>
          <w:lang w:val="en-US" w:eastAsia="en-US"/>
        </w:rPr>
        <w:t>九、其他需要说明的情况</w:t>
      </w:r>
    </w:p>
    <w:p w14:paraId="0875CA94">
      <w:pPr>
        <w:pStyle w:val="14"/>
        <w:spacing w:line="600" w:lineRule="exact"/>
        <w:ind w:firstLine="643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无。</w:t>
      </w:r>
    </w:p>
    <w:p w14:paraId="28A7C9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114069">
    <w:pPr>
      <w:pStyle w:val="5"/>
      <w:framePr w:wrap="around" w:vAnchor="text" w:hAnchor="margin" w:xAlign="outside" w:y="1"/>
      <w:rPr>
        <w:rStyle w:val="9"/>
        <w:sz w:val="24"/>
        <w:szCs w:val="24"/>
      </w:rPr>
    </w:pPr>
    <w:r>
      <w:rPr>
        <w:rStyle w:val="9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9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9"/>
        <w:sz w:val="24"/>
        <w:szCs w:val="24"/>
      </w:rPr>
      <w:t>2</w:t>
    </w:r>
    <w:r>
      <w:rPr>
        <w:sz w:val="24"/>
        <w:szCs w:val="24"/>
      </w:rPr>
      <w:fldChar w:fldCharType="end"/>
    </w:r>
    <w:r>
      <w:rPr>
        <w:rStyle w:val="9"/>
        <w:rFonts w:hint="eastAsia"/>
        <w:sz w:val="24"/>
        <w:szCs w:val="24"/>
      </w:rPr>
      <w:t xml:space="preserve"> —</w:t>
    </w:r>
  </w:p>
  <w:p w14:paraId="5B692913">
    <w:pPr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8844DB">
    <w:pPr>
      <w:framePr w:wrap="around" w:vAnchor="text" w:hAnchor="margin" w:xAlign="outside" w:y="1"/>
    </w:pPr>
    <w:r>
      <w:fldChar w:fldCharType="begin"/>
    </w:r>
    <w:r>
      <w:instrText xml:space="preserve">PAGE  </w:instrText>
    </w:r>
    <w:r>
      <w:fldChar w:fldCharType="separate"/>
    </w:r>
    <w:r>
      <w:t>- 15 -</w:t>
    </w:r>
    <w:r>
      <w:fldChar w:fldCharType="end"/>
    </w:r>
  </w:p>
  <w:p w14:paraId="7D2B8D64">
    <w:pPr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7498EA"/>
    <w:multiLevelType w:val="singleLevel"/>
    <w:tmpl w:val="387498E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000000"/>
    <w:rsid w:val="032B47A9"/>
    <w:rsid w:val="03652CA2"/>
    <w:rsid w:val="03AA1A5C"/>
    <w:rsid w:val="05375E6B"/>
    <w:rsid w:val="0C791C75"/>
    <w:rsid w:val="11DD21FB"/>
    <w:rsid w:val="12524FF3"/>
    <w:rsid w:val="14981890"/>
    <w:rsid w:val="152C2AC9"/>
    <w:rsid w:val="1711679D"/>
    <w:rsid w:val="186A0D56"/>
    <w:rsid w:val="1D470521"/>
    <w:rsid w:val="20756E2D"/>
    <w:rsid w:val="20853119"/>
    <w:rsid w:val="223741BE"/>
    <w:rsid w:val="223E5BEA"/>
    <w:rsid w:val="2551032A"/>
    <w:rsid w:val="27D863C0"/>
    <w:rsid w:val="286D547B"/>
    <w:rsid w:val="2AB54840"/>
    <w:rsid w:val="2AE61515"/>
    <w:rsid w:val="2D7E77E3"/>
    <w:rsid w:val="2DD67B47"/>
    <w:rsid w:val="342D6CBE"/>
    <w:rsid w:val="3440400D"/>
    <w:rsid w:val="38D17A67"/>
    <w:rsid w:val="3B5877A1"/>
    <w:rsid w:val="3DE6565C"/>
    <w:rsid w:val="3F0572F9"/>
    <w:rsid w:val="41203882"/>
    <w:rsid w:val="42075CA8"/>
    <w:rsid w:val="447A08AC"/>
    <w:rsid w:val="44C23205"/>
    <w:rsid w:val="456D6663"/>
    <w:rsid w:val="45795F75"/>
    <w:rsid w:val="4E2776C4"/>
    <w:rsid w:val="4E4A5CD1"/>
    <w:rsid w:val="4E8B1F67"/>
    <w:rsid w:val="55BA31FE"/>
    <w:rsid w:val="58871392"/>
    <w:rsid w:val="596423C7"/>
    <w:rsid w:val="59A9515E"/>
    <w:rsid w:val="5BC326E1"/>
    <w:rsid w:val="5CC772D2"/>
    <w:rsid w:val="5F663B83"/>
    <w:rsid w:val="5F8D53A3"/>
    <w:rsid w:val="624A5785"/>
    <w:rsid w:val="624F2C18"/>
    <w:rsid w:val="62724E61"/>
    <w:rsid w:val="63660064"/>
    <w:rsid w:val="63732A0E"/>
    <w:rsid w:val="63E53BC8"/>
    <w:rsid w:val="64673F7C"/>
    <w:rsid w:val="65D00FC6"/>
    <w:rsid w:val="69C12CD2"/>
    <w:rsid w:val="6B38404F"/>
    <w:rsid w:val="6B8A28E3"/>
    <w:rsid w:val="705F56DB"/>
    <w:rsid w:val="724D0AFE"/>
    <w:rsid w:val="73C70602"/>
    <w:rsid w:val="73F223C1"/>
    <w:rsid w:val="76C92F4B"/>
    <w:rsid w:val="785771FF"/>
    <w:rsid w:val="787E1F69"/>
    <w:rsid w:val="78A50E3F"/>
    <w:rsid w:val="7AAC2882"/>
    <w:rsid w:val="7C582B10"/>
    <w:rsid w:val="7DAD0FE3"/>
    <w:rsid w:val="7DED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560" w:lineRule="exact"/>
      <w:ind w:firstLine="640" w:firstLineChars="200"/>
      <w:outlineLvl w:val="0"/>
    </w:pPr>
    <w:rPr>
      <w:rFonts w:eastAsia="黑体" w:asciiTheme="minorAscii" w:hAnsiTheme="minorAscii"/>
      <w:b/>
      <w:kern w:val="44"/>
      <w:sz w:val="32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line="560" w:lineRule="exact"/>
      <w:ind w:firstLine="200" w:firstLineChars="200"/>
      <w:outlineLvl w:val="1"/>
    </w:pPr>
    <w:rPr>
      <w:rFonts w:eastAsia="楷体_GB2312" w:asciiTheme="majorAscii" w:hAnsiTheme="majorAscii" w:cstheme="majorBidi"/>
      <w:b/>
      <w:bCs/>
      <w:sz w:val="32"/>
      <w:szCs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0" w:firstLineChars="200"/>
      <w:outlineLvl w:val="2"/>
    </w:pPr>
    <w:rPr>
      <w:rFonts w:eastAsia="仿宋_GB2312" w:asciiTheme="minorAscii" w:hAnsiTheme="minorAscii"/>
      <w:sz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autoRedefine/>
    <w:qFormat/>
    <w:uiPriority w:val="0"/>
  </w:style>
  <w:style w:type="paragraph" w:customStyle="1" w:styleId="10">
    <w:name w:val="BodyText1I2"/>
    <w:basedOn w:val="11"/>
    <w:autoRedefine/>
    <w:qFormat/>
    <w:uiPriority w:val="0"/>
    <w:pPr>
      <w:spacing w:before="100" w:beforeAutospacing="1" w:after="0"/>
      <w:ind w:left="0" w:firstLine="420" w:firstLineChars="200"/>
    </w:pPr>
    <w:rPr>
      <w:rFonts w:ascii="Calibri" w:hAnsi="Calibri"/>
    </w:rPr>
  </w:style>
  <w:style w:type="paragraph" w:customStyle="1" w:styleId="11">
    <w:name w:val="BodyTextIndent"/>
    <w:basedOn w:val="1"/>
    <w:autoRedefine/>
    <w:qFormat/>
    <w:uiPriority w:val="0"/>
    <w:pPr>
      <w:spacing w:after="120"/>
      <w:ind w:left="420" w:leftChars="200"/>
    </w:pPr>
  </w:style>
  <w:style w:type="paragraph" w:customStyle="1" w:styleId="12">
    <w:name w:val="BodyText1I"/>
    <w:basedOn w:val="1"/>
    <w:autoRedefine/>
    <w:qFormat/>
    <w:uiPriority w:val="99"/>
    <w:pPr>
      <w:snapToGrid w:val="0"/>
      <w:spacing w:line="360" w:lineRule="auto"/>
      <w:ind w:firstLine="420" w:firstLineChars="100"/>
    </w:pPr>
    <w:rPr>
      <w:sz w:val="28"/>
      <w:szCs w:val="20"/>
    </w:rPr>
  </w:style>
  <w:style w:type="paragraph" w:customStyle="1" w:styleId="13">
    <w:name w:val="标题1"/>
    <w:basedOn w:val="3"/>
    <w:autoRedefine/>
    <w:qFormat/>
    <w:uiPriority w:val="0"/>
    <w:rPr>
      <w:rFonts w:eastAsia="黑体"/>
    </w:rPr>
  </w:style>
  <w:style w:type="paragraph" w:customStyle="1" w:styleId="14">
    <w:name w:val="List Paragraph_a0f507d5-6e28-4914-b37f-020b7d2b0f7c"/>
    <w:basedOn w:val="1"/>
    <w:autoRedefine/>
    <w:qFormat/>
    <w:uiPriority w:val="0"/>
    <w:pPr>
      <w:ind w:firstLine="420" w:firstLineChars="200"/>
    </w:p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1040</Words>
  <Characters>1229</Characters>
  <Lines>1</Lines>
  <Paragraphs>1</Paragraphs>
  <TotalTime>0</TotalTime>
  <ScaleCrop>false</ScaleCrop>
  <LinksUpToDate>false</LinksUpToDate>
  <CharactersWithSpaces>1339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2024-05-20T07:10:00Z</dcterms:created>
  <dc:creator>HNBS-WORKER3</dc:creator>
  <cp:lastModifiedBy>XIE</cp:lastModifiedBy>
  <dcterms:modified xsi:type="dcterms:W3CDTF">2025-07-04T03:52:12Z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472F0DB70FAF40BABD83E5674BC215FC_13</vt:lpwstr>
  </property>
  <property fmtid="{D5CDD505-2E9C-101B-9397-08002B2CF9AE}" pid="4" name="KSOTemplateDocerSaveRecord">
    <vt:lpwstr>eyJoZGlkIjoiNjZlNzA1MzQ4ZTZjMDEyZGRhYjFlZjI2NjNmZGEzZjEiLCJ1c2VySWQiOiIxMTU1MzM3MzE4In0=</vt:lpwstr>
  </property>
</Properties>
</file>