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3A635">
      <w:pPr>
        <w:bidi w:val="0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17BFEC7A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部门整体支出绩效评价基础数据表</w:t>
      </w:r>
    </w:p>
    <w:p w14:paraId="46E2E7A6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hint="eastAsia" w:eastAsia="仿宋_GB2312"/>
          <w:kern w:val="0"/>
          <w:sz w:val="24"/>
          <w:lang w:val="en-US" w:eastAsia="zh-CN"/>
        </w:rPr>
      </w:pPr>
      <w:r>
        <w:rPr>
          <w:rFonts w:hint="eastAsia" w:eastAsia="仿宋_GB2312"/>
          <w:kern w:val="0"/>
          <w:sz w:val="24"/>
          <w:lang w:val="en-US" w:eastAsia="zh-CN"/>
        </w:rPr>
        <w:t xml:space="preserve">填报单位：岳阳市长炼学校                                   </w:t>
      </w:r>
    </w:p>
    <w:tbl>
      <w:tblPr>
        <w:tblStyle w:val="7"/>
        <w:tblW w:w="5425" w:type="pct"/>
        <w:tblInd w:w="-3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6"/>
        <w:gridCol w:w="792"/>
        <w:gridCol w:w="1222"/>
        <w:gridCol w:w="925"/>
        <w:gridCol w:w="1325"/>
        <w:gridCol w:w="976"/>
        <w:gridCol w:w="1241"/>
      </w:tblGrid>
      <w:tr w14:paraId="613F0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6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A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财政供养人员情况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A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编制数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C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2024年实际在职人数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B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控制率</w:t>
            </w:r>
          </w:p>
        </w:tc>
      </w:tr>
      <w:tr w14:paraId="74E48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6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6D07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9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C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6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</w:tr>
      <w:tr w14:paraId="32693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D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经费控制情况(万元)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9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2023年决算数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8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2024年预算数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5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2024年决算数</w:t>
            </w:r>
          </w:p>
        </w:tc>
      </w:tr>
      <w:tr w14:paraId="4341B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E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三公经费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4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E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5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B32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3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1、公务用车购置和维护经费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D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F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9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6C9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1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其中：公车购置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9DBB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83A4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7EDE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47A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95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公车运行维护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3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6963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FA4A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8ED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6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2、出国经费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5E87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C95F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2EC94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C86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F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3、公务接待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0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1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5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277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B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D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D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57.84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1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57.84</w:t>
            </w:r>
          </w:p>
        </w:tc>
      </w:tr>
      <w:tr w14:paraId="52EB5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2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1、业务工作经费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DD1D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30B7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6FB9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25C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D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2、运行维护经费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4FF2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40C0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4DB9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98D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E0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3、本级专项资金（一个专项一行）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4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2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57.84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4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57.84</w:t>
            </w:r>
          </w:p>
        </w:tc>
      </w:tr>
      <w:tr w14:paraId="35B74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8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营养改善计划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C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4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3.38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A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3.38</w:t>
            </w:r>
          </w:p>
        </w:tc>
      </w:tr>
      <w:tr w14:paraId="4FAB8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7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中小学校舍安全工程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0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4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54.46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C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54.46</w:t>
            </w:r>
          </w:p>
        </w:tc>
      </w:tr>
      <w:tr w14:paraId="2E8BA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4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公用经费：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A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205.42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1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296.97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5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296.97</w:t>
            </w:r>
          </w:p>
        </w:tc>
      </w:tr>
      <w:tr w14:paraId="74C85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6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其中：办公经费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C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46.74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F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110.97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A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110.97</w:t>
            </w:r>
          </w:p>
        </w:tc>
      </w:tr>
      <w:tr w14:paraId="45431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B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水费、电费、差旅费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2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12.49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5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14.43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F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14.43</w:t>
            </w:r>
          </w:p>
        </w:tc>
      </w:tr>
      <w:tr w14:paraId="4C244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B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会议费、培训费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9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10.18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5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5.30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4F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5.30</w:t>
            </w:r>
          </w:p>
        </w:tc>
      </w:tr>
      <w:tr w14:paraId="5E5FC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8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政府采购金额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C027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9A50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5577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9AF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A0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部门基本支出预算调整 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6F7A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56FF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A790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C34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F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楼堂馆所控制情况 </w:t>
            </w:r>
          </w:p>
          <w:p w14:paraId="7042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（2024年完工项目）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D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批复规模 </w:t>
            </w:r>
          </w:p>
          <w:p w14:paraId="1D1F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（㎡）</w:t>
            </w:r>
          </w:p>
        </w:tc>
        <w:tc>
          <w:tcPr>
            <w:tcW w:w="6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C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实际规模</w:t>
            </w:r>
          </w:p>
          <w:p w14:paraId="50E7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（㎡）</w:t>
            </w: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9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规模控制率</w:t>
            </w: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4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预算投资</w:t>
            </w:r>
          </w:p>
          <w:p w14:paraId="0BCB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2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实际投资</w:t>
            </w:r>
          </w:p>
          <w:p w14:paraId="4498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9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投资概算控制率</w:t>
            </w:r>
          </w:p>
        </w:tc>
      </w:tr>
      <w:tr w14:paraId="43DDD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0E3E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1B0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3F4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949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8BC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1D8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B54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660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8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厉行节约保障措施</w:t>
            </w:r>
          </w:p>
        </w:tc>
        <w:tc>
          <w:tcPr>
            <w:tcW w:w="3338" w:type="pct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369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3592DE8">
      <w:pPr>
        <w:pStyle w:val="1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outlineLvl w:val="9"/>
        <w:rPr>
          <w:rFonts w:eastAsia="仿宋_GB2312"/>
          <w:kern w:val="0"/>
          <w:sz w:val="22"/>
        </w:rPr>
      </w:pPr>
    </w:p>
    <w:p w14:paraId="59D4D0F6">
      <w:pPr>
        <w:pStyle w:val="1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outlineLvl w:val="9"/>
        <w:rPr>
          <w:rFonts w:hint="eastAsia"/>
          <w:lang w:val="en-US" w:eastAsia="zh-CN"/>
        </w:rPr>
      </w:pPr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 w14:paraId="251BF04E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 刘琴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填报日期：</w:t>
      </w:r>
      <w:r>
        <w:rPr>
          <w:rFonts w:hint="eastAsia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2025.6.12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联系电话：18373008412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单位负责人签字：</w:t>
      </w:r>
    </w:p>
    <w:p w14:paraId="7082429A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588" w:bottom="1588" w:left="1588" w:header="851" w:footer="992" w:gutter="0"/>
          <w:pgNumType w:start="1"/>
          <w:cols w:space="720" w:num="1"/>
          <w:titlePg/>
          <w:docGrid w:type="linesAndChars" w:linePitch="602" w:charSpace="-782"/>
        </w:sectPr>
      </w:pPr>
    </w:p>
    <w:p w14:paraId="3D80FCBB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3-1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 w14:paraId="072C8E57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 w14:paraId="29108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 w:val="0"/>
          <w:sz w:val="46"/>
          <w:szCs w:val="46"/>
        </w:rPr>
      </w:pPr>
      <w:r>
        <w:rPr>
          <w:rFonts w:hint="eastAsia" w:ascii="宋体" w:hAnsi="宋体" w:eastAsia="宋体" w:cs="宋体"/>
          <w:b/>
          <w:bCs w:val="0"/>
          <w:sz w:val="46"/>
          <w:szCs w:val="46"/>
        </w:rPr>
        <w:t>岳阳市云溪区</w:t>
      </w:r>
      <w:r>
        <w:rPr>
          <w:rFonts w:hint="eastAsia" w:ascii="宋体" w:hAnsi="宋体" w:cs="宋体"/>
          <w:b/>
          <w:bCs w:val="0"/>
          <w:sz w:val="46"/>
          <w:szCs w:val="46"/>
          <w:u w:val="single"/>
          <w:lang w:eastAsia="zh-CN"/>
        </w:rPr>
        <w:t>2024</w:t>
      </w:r>
      <w:r>
        <w:rPr>
          <w:rFonts w:hint="eastAsia" w:ascii="宋体" w:hAnsi="宋体" w:eastAsia="宋体" w:cs="宋体"/>
          <w:b/>
          <w:bCs w:val="0"/>
          <w:sz w:val="46"/>
          <w:szCs w:val="46"/>
        </w:rPr>
        <w:t>年度部门整体支出</w:t>
      </w:r>
    </w:p>
    <w:p w14:paraId="3BA61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6"/>
          <w:szCs w:val="46"/>
        </w:rPr>
      </w:pPr>
      <w:r>
        <w:rPr>
          <w:rFonts w:hint="eastAsia" w:ascii="宋体" w:hAnsi="宋体" w:eastAsia="宋体" w:cs="宋体"/>
          <w:b/>
          <w:bCs w:val="0"/>
          <w:sz w:val="46"/>
          <w:szCs w:val="46"/>
        </w:rPr>
        <w:t>绩效评价自评报告</w:t>
      </w:r>
    </w:p>
    <w:p w14:paraId="5B119A33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</w:rPr>
      </w:pPr>
    </w:p>
    <w:p w14:paraId="13C61E54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  <w:r>
        <w:rPr>
          <w:rFonts w:hint="eastAsia" w:eastAsia="仿宋_GB2312"/>
          <w:b/>
          <w:sz w:val="32"/>
          <w:lang w:val="en-US" w:eastAsia="zh-CN"/>
        </w:rPr>
        <w:t xml:space="preserve"> </w:t>
      </w:r>
    </w:p>
    <w:p w14:paraId="1F45DC2F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</w:p>
    <w:p w14:paraId="15CDBBB9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</w:p>
    <w:p w14:paraId="4218EF82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</w:rPr>
      </w:pPr>
    </w:p>
    <w:p w14:paraId="1D71FB7F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部门(单位)名称：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eastAsia="zh-CN"/>
        </w:rPr>
        <w:t>岳阳市长炼学校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</w:p>
    <w:p w14:paraId="495BEF3E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 xml:space="preserve"> 算 编 码：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>139032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 xml:space="preserve">    </w:t>
      </w:r>
    </w:p>
    <w:p w14:paraId="74D571F1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 w14:paraId="2F021ED6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评价机构：部门（单位）评价组   </w:t>
      </w:r>
    </w:p>
    <w:p w14:paraId="7AD106B5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6D2CE2B6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034358F9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6E99231E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rPr>
          <w:rFonts w:hint="eastAsia" w:eastAsia="仿宋_GB2312"/>
          <w:sz w:val="32"/>
        </w:rPr>
      </w:pPr>
    </w:p>
    <w:p w14:paraId="2559DBE6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 xml:space="preserve">         </w:t>
      </w: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2025</w:t>
      </w:r>
      <w:r>
        <w:rPr>
          <w:rFonts w:hint="eastAsia" w:eastAsia="仿宋_GB2312"/>
          <w:sz w:val="32"/>
        </w:rPr>
        <w:t xml:space="preserve"> 年 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 xml:space="preserve">  月 </w:t>
      </w:r>
      <w:r>
        <w:rPr>
          <w:rFonts w:hint="eastAsia" w:eastAsia="仿宋_GB2312"/>
          <w:sz w:val="32"/>
          <w:lang w:val="en-US" w:eastAsia="zh-CN"/>
        </w:rPr>
        <w:t>12</w:t>
      </w:r>
      <w:r>
        <w:rPr>
          <w:rFonts w:hint="eastAsia" w:eastAsia="仿宋_GB2312"/>
          <w:sz w:val="32"/>
        </w:rPr>
        <w:t xml:space="preserve">  日</w:t>
      </w:r>
    </w:p>
    <w:p w14:paraId="14ABD015"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spacing w:line="560" w:lineRule="exact"/>
        <w:jc w:val="center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lang w:val="en-US" w:eastAsia="zh-CN"/>
        </w:rPr>
        <w:t xml:space="preserve">          </w:t>
      </w:r>
      <w:r>
        <w:rPr>
          <w:rFonts w:hint="eastAsia" w:eastAsia="仿宋_GB2312"/>
          <w:sz w:val="32"/>
          <w:lang w:eastAsia="zh-CN"/>
        </w:rPr>
        <w:t>岳阳市长炼学校</w:t>
      </w:r>
      <w:r>
        <w:rPr>
          <w:rFonts w:hint="eastAsia" w:eastAsia="仿宋_GB2312"/>
          <w:sz w:val="32"/>
          <w:szCs w:val="32"/>
        </w:rPr>
        <w:t>（制）</w:t>
      </w:r>
    </w:p>
    <w:p w14:paraId="751E794F">
      <w:pPr>
        <w:pStyle w:val="12"/>
        <w:rPr>
          <w:rFonts w:hint="eastAsia" w:eastAsia="仿宋_GB2312"/>
          <w:sz w:val="32"/>
          <w:szCs w:val="32"/>
        </w:rPr>
      </w:pPr>
    </w:p>
    <w:p w14:paraId="3FD58AF8">
      <w:pPr>
        <w:pStyle w:val="12"/>
        <w:rPr>
          <w:rFonts w:hint="eastAsia" w:eastAsia="仿宋_GB2312"/>
          <w:sz w:val="32"/>
          <w:szCs w:val="32"/>
        </w:rPr>
      </w:pPr>
    </w:p>
    <w:p w14:paraId="3105F12D">
      <w:pPr>
        <w:pStyle w:val="12"/>
        <w:rPr>
          <w:rFonts w:hint="eastAsia" w:eastAsia="仿宋_GB2312"/>
          <w:sz w:val="32"/>
          <w:szCs w:val="32"/>
        </w:rPr>
      </w:pPr>
    </w:p>
    <w:p w14:paraId="060B0419">
      <w:pPr>
        <w:pStyle w:val="12"/>
        <w:rPr>
          <w:rFonts w:hint="eastAsia" w:eastAsia="仿宋_GB2312"/>
          <w:sz w:val="32"/>
          <w:szCs w:val="32"/>
        </w:rPr>
      </w:pPr>
    </w:p>
    <w:p w14:paraId="13A78BFE">
      <w:pPr>
        <w:pStyle w:val="12"/>
        <w:rPr>
          <w:rFonts w:hint="eastAsia" w:eastAsia="仿宋_GB2312"/>
          <w:sz w:val="32"/>
          <w:szCs w:val="32"/>
        </w:rPr>
      </w:pPr>
    </w:p>
    <w:p w14:paraId="701A3D0B">
      <w:pPr>
        <w:pStyle w:val="12"/>
        <w:rPr>
          <w:rFonts w:hint="eastAsia" w:eastAsia="仿宋_GB2312"/>
          <w:sz w:val="32"/>
          <w:szCs w:val="32"/>
        </w:rPr>
        <w:sectPr>
          <w:pgSz w:w="11906" w:h="16838"/>
          <w:pgMar w:top="1588" w:right="1588" w:bottom="1588" w:left="1588" w:header="851" w:footer="992" w:gutter="0"/>
          <w:pgNumType w:start="1"/>
          <w:cols w:space="720" w:num="1"/>
          <w:titlePg/>
          <w:docGrid w:type="linesAndChars" w:linePitch="602" w:charSpace="-782"/>
        </w:sectPr>
      </w:pPr>
    </w:p>
    <w:p w14:paraId="42D9B466"/>
    <w:p w14:paraId="1EBD3DB4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整体支出绩效自评表</w:t>
      </w:r>
    </w:p>
    <w:tbl>
      <w:tblPr>
        <w:tblStyle w:val="7"/>
        <w:tblW w:w="5495" w:type="pct"/>
        <w:tblInd w:w="-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856"/>
        <w:gridCol w:w="887"/>
        <w:gridCol w:w="412"/>
        <w:gridCol w:w="913"/>
        <w:gridCol w:w="164"/>
        <w:gridCol w:w="889"/>
        <w:gridCol w:w="1144"/>
        <w:gridCol w:w="825"/>
        <w:gridCol w:w="708"/>
        <w:gridCol w:w="800"/>
        <w:gridCol w:w="939"/>
        <w:gridCol w:w="78"/>
      </w:tblGrid>
      <w:tr w14:paraId="06978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8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预算部门名称</w:t>
            </w:r>
          </w:p>
        </w:tc>
        <w:tc>
          <w:tcPr>
            <w:tcW w:w="4141" w:type="pct"/>
            <w:gridSpan w:val="11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1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岳阳市长炼学校</w:t>
            </w:r>
          </w:p>
        </w:tc>
      </w:tr>
      <w:tr w14:paraId="2C7B9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8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</w:p>
          <w:p w14:paraId="0102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(万元)</w:t>
            </w: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6A3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A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年初预算数(万元)</w:t>
            </w:r>
          </w:p>
        </w:tc>
        <w:tc>
          <w:tcPr>
            <w:tcW w:w="56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D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全年预算数（万元）</w:t>
            </w: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8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全年执行数（万元）</w:t>
            </w:r>
          </w:p>
        </w:tc>
        <w:tc>
          <w:tcPr>
            <w:tcW w:w="81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4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B0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</w:t>
            </w:r>
          </w:p>
        </w:tc>
        <w:tc>
          <w:tcPr>
            <w:tcW w:w="54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B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 w14:paraId="04391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98E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5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C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1315.25</w:t>
            </w:r>
          </w:p>
        </w:tc>
        <w:tc>
          <w:tcPr>
            <w:tcW w:w="56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4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1562.08</w:t>
            </w: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E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1562.08</w:t>
            </w:r>
          </w:p>
        </w:tc>
        <w:tc>
          <w:tcPr>
            <w:tcW w:w="81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A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5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4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B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</w:tr>
      <w:tr w14:paraId="271D9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7AE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3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F6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按收入性质分：</w:t>
            </w:r>
          </w:p>
        </w:tc>
        <w:tc>
          <w:tcPr>
            <w:tcW w:w="1788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59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按支出性质分：</w:t>
            </w:r>
          </w:p>
        </w:tc>
      </w:tr>
      <w:tr w14:paraId="63734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FC6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C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一般公共预算：</w:t>
            </w:r>
          </w:p>
        </w:tc>
        <w:tc>
          <w:tcPr>
            <w:tcW w:w="166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B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1562.08</w:t>
            </w:r>
          </w:p>
        </w:tc>
        <w:tc>
          <w:tcPr>
            <w:tcW w:w="81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5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其中:基本支出：</w:t>
            </w:r>
          </w:p>
        </w:tc>
        <w:tc>
          <w:tcPr>
            <w:tcW w:w="969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4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1504.24</w:t>
            </w:r>
          </w:p>
        </w:tc>
      </w:tr>
      <w:tr w14:paraId="63105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EC8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1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政府性基金拨款：</w:t>
            </w:r>
          </w:p>
        </w:tc>
        <w:tc>
          <w:tcPr>
            <w:tcW w:w="166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2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AA28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9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7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F76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0B9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4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纳入专户管理的非税收入拨款：</w:t>
            </w:r>
          </w:p>
        </w:tc>
        <w:tc>
          <w:tcPr>
            <w:tcW w:w="166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4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BF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969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B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57.84</w:t>
            </w:r>
          </w:p>
        </w:tc>
      </w:tr>
      <w:tr w14:paraId="5188D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B98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D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66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5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81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D4CB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9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818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E34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5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E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353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3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788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9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 w14:paraId="2DB6C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02C4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3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5C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1.确保学生日常教育教学工作顺利开展</w:t>
            </w:r>
          </w:p>
          <w:p w14:paraId="3E8E1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2.确保教职工的工资福利正常发放</w:t>
            </w:r>
          </w:p>
          <w:p w14:paraId="74573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3.确保退休教师待遇发放到位</w:t>
            </w:r>
          </w:p>
          <w:p w14:paraId="2C222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4.争取在2024年度教育教学工作跃上新的台阶</w:t>
            </w:r>
          </w:p>
        </w:tc>
        <w:tc>
          <w:tcPr>
            <w:tcW w:w="1788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2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已按计划完成</w:t>
            </w:r>
          </w:p>
        </w:tc>
      </w:tr>
      <w:tr w14:paraId="5C5A3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309" w:hRule="atLeast"/>
        </w:trPr>
        <w:tc>
          <w:tcPr>
            <w:tcW w:w="40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B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A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47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3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794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0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85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7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B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37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D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42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3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50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3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36EA4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549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0C7C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09EA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C7D4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F28F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DE5B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B2D9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D4B2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8F8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076E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6FE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83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D96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47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A6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794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E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足额投入日常公用经费</w:t>
            </w:r>
          </w:p>
        </w:tc>
        <w:tc>
          <w:tcPr>
            <w:tcW w:w="108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A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F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96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9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668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1B7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DF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A3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78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4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F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足额发放退休教职工待遇</w:t>
            </w:r>
          </w:p>
        </w:tc>
        <w:tc>
          <w:tcPr>
            <w:tcW w:w="108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2F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35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2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6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D9D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668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77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EA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8C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4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0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四险一金缴纳率</w:t>
            </w:r>
          </w:p>
        </w:tc>
        <w:tc>
          <w:tcPr>
            <w:tcW w:w="108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0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1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8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0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6C6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D37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45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23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64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4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A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发放教师工资</w:t>
            </w:r>
          </w:p>
        </w:tc>
        <w:tc>
          <w:tcPr>
            <w:tcW w:w="108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46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≥57人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5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57人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C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0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3C0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B48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64B9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12E3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68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794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0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小学生入学率</w:t>
            </w:r>
          </w:p>
        </w:tc>
        <w:tc>
          <w:tcPr>
            <w:tcW w:w="108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F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0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5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5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648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73E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68B5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745B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AE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4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F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小学升学率</w:t>
            </w:r>
          </w:p>
        </w:tc>
        <w:tc>
          <w:tcPr>
            <w:tcW w:w="108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5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5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D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A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E70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36C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1116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D219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18EC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CF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794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8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年内完成各项工作</w:t>
            </w:r>
          </w:p>
        </w:tc>
        <w:tc>
          <w:tcPr>
            <w:tcW w:w="108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ED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2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8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4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B2D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AAA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71BA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E4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72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A0E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662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AE6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20A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E69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BDA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948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5C1C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79DE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C8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0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确保学校教育教学正常进行</w:t>
            </w:r>
          </w:p>
        </w:tc>
        <w:tc>
          <w:tcPr>
            <w:tcW w:w="20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A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正常进行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1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正常进行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0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9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714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738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814B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E71DA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CA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F777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D25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927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3EE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7EB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43A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520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4D1BA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CBD6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3C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C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学校办学条件持续改善，教学质量持续提高</w:t>
            </w:r>
          </w:p>
        </w:tc>
        <w:tc>
          <w:tcPr>
            <w:tcW w:w="20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8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C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6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5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36C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A6C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2458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63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B1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6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在校学生家长满意度</w:t>
            </w:r>
          </w:p>
        </w:tc>
        <w:tc>
          <w:tcPr>
            <w:tcW w:w="20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1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9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9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C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5E2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E3A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936A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67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D8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C6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控制在预算范围内</w:t>
            </w:r>
          </w:p>
        </w:tc>
        <w:tc>
          <w:tcPr>
            <w:tcW w:w="20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6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≤1562.08万元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5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1562.08万元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E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1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2AB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D50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0F1C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7ADC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30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794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FE7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912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6B6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B2C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B7A5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B8F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824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A524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FB84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69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794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F7C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885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104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5EF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8041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046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4EC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133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C8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绩效自评综合得分</w:t>
            </w:r>
          </w:p>
        </w:tc>
        <w:tc>
          <w:tcPr>
            <w:tcW w:w="3626" w:type="pct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BE4D8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100分</w:t>
            </w:r>
          </w:p>
        </w:tc>
      </w:tr>
      <w:tr w14:paraId="43183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133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3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评价等次</w:t>
            </w:r>
          </w:p>
        </w:tc>
        <w:tc>
          <w:tcPr>
            <w:tcW w:w="3626" w:type="pct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BB0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优</w:t>
            </w:r>
          </w:p>
        </w:tc>
      </w:tr>
    </w:tbl>
    <w:p w14:paraId="0C2DC2B5">
      <w:pPr>
        <w:pStyle w:val="10"/>
      </w:pPr>
    </w:p>
    <w:p w14:paraId="1EBD6CDC">
      <w:pPr>
        <w:pStyle w:val="10"/>
      </w:pPr>
    </w:p>
    <w:p w14:paraId="06091F9D">
      <w:pPr>
        <w:pStyle w:val="10"/>
      </w:pPr>
    </w:p>
    <w:p w14:paraId="6AB907C8">
      <w:pPr>
        <w:pStyle w:val="10"/>
        <w:ind w:left="0" w:leftChars="0" w:firstLine="0" w:firstLineChars="0"/>
      </w:pPr>
    </w:p>
    <w:p w14:paraId="2E74BBC4">
      <w:pPr>
        <w:pStyle w:val="10"/>
        <w:ind w:left="0" w:leftChars="0" w:firstLine="0" w:firstLineChars="0"/>
      </w:pPr>
    </w:p>
    <w:p w14:paraId="25304E33">
      <w:pPr>
        <w:pStyle w:val="10"/>
        <w:ind w:left="0" w:leftChars="0" w:firstLine="0" w:firstLineChars="0"/>
      </w:pPr>
    </w:p>
    <w:p w14:paraId="5CBC69D0">
      <w:pPr>
        <w:pStyle w:val="10"/>
        <w:ind w:left="0" w:leftChars="0" w:firstLine="0" w:firstLineChars="0"/>
      </w:pPr>
    </w:p>
    <w:p w14:paraId="7601C300">
      <w:pPr>
        <w:pStyle w:val="10"/>
        <w:ind w:left="0" w:leftChars="0" w:firstLine="0" w:firstLineChars="0"/>
      </w:pPr>
    </w:p>
    <w:p w14:paraId="7C4269C4">
      <w:pPr>
        <w:pStyle w:val="10"/>
        <w:ind w:left="0" w:leftChars="0" w:firstLine="0" w:firstLineChars="0"/>
      </w:pPr>
    </w:p>
    <w:p w14:paraId="4F9B7564">
      <w:pPr>
        <w:pStyle w:val="10"/>
        <w:ind w:left="0" w:leftChars="0" w:firstLine="0" w:firstLineChars="0"/>
      </w:pPr>
    </w:p>
    <w:tbl>
      <w:tblPr>
        <w:tblStyle w:val="7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654"/>
        <w:gridCol w:w="3561"/>
        <w:gridCol w:w="1479"/>
        <w:gridCol w:w="3106"/>
      </w:tblGrid>
      <w:tr w14:paraId="331A2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3C73C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 w14:paraId="0EBE5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noWrap w:val="0"/>
            <w:vAlign w:val="center"/>
          </w:tcPr>
          <w:p w14:paraId="58F7D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noWrap w:val="0"/>
            <w:vAlign w:val="center"/>
          </w:tcPr>
          <w:p w14:paraId="0C994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noWrap w:val="0"/>
            <w:vAlign w:val="center"/>
          </w:tcPr>
          <w:p w14:paraId="460EC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noWrap w:val="0"/>
            <w:vAlign w:val="center"/>
          </w:tcPr>
          <w:p w14:paraId="6EADD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 w14:paraId="17211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3A3CB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刘亚梅</w:t>
            </w:r>
          </w:p>
        </w:tc>
        <w:tc>
          <w:tcPr>
            <w:tcW w:w="3561" w:type="dxa"/>
            <w:noWrap w:val="0"/>
            <w:vAlign w:val="center"/>
          </w:tcPr>
          <w:p w14:paraId="3F24B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校长</w:t>
            </w:r>
          </w:p>
        </w:tc>
        <w:tc>
          <w:tcPr>
            <w:tcW w:w="1479" w:type="dxa"/>
            <w:noWrap w:val="0"/>
            <w:vAlign w:val="center"/>
          </w:tcPr>
          <w:p w14:paraId="101A1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5562E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B19E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09887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周凌云</w:t>
            </w:r>
          </w:p>
        </w:tc>
        <w:tc>
          <w:tcPr>
            <w:tcW w:w="3561" w:type="dxa"/>
            <w:noWrap w:val="0"/>
            <w:vAlign w:val="center"/>
          </w:tcPr>
          <w:p w14:paraId="76688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副校长</w:t>
            </w:r>
          </w:p>
        </w:tc>
        <w:tc>
          <w:tcPr>
            <w:tcW w:w="1479" w:type="dxa"/>
            <w:noWrap w:val="0"/>
            <w:vAlign w:val="center"/>
          </w:tcPr>
          <w:p w14:paraId="16A83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3106" w:type="dxa"/>
            <w:noWrap w:val="0"/>
            <w:vAlign w:val="center"/>
          </w:tcPr>
          <w:p w14:paraId="5132A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C8ED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310E7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noWrap w:val="0"/>
            <w:vAlign w:val="center"/>
          </w:tcPr>
          <w:p w14:paraId="325F4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5E94C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218F4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FC09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3E32C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noWrap w:val="0"/>
            <w:vAlign w:val="center"/>
          </w:tcPr>
          <w:p w14:paraId="52FC6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48CDF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61E95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7C08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372E1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 w14:paraId="73EF7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AEDF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D9DC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35D9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5D56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14:paraId="70B28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19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3577E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 w14:paraId="6F782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1533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 w14:paraId="01E1C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14:paraId="10196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56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3C80F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财政部门归口业务股室意见：</w:t>
            </w:r>
          </w:p>
          <w:p w14:paraId="2D7BD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</w:p>
          <w:p w14:paraId="67FBE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财政部门归口业务股室负责人（签章）：</w:t>
            </w:r>
          </w:p>
          <w:p w14:paraId="054EE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年    月   日</w:t>
            </w:r>
          </w:p>
        </w:tc>
      </w:tr>
    </w:tbl>
    <w:p w14:paraId="1579BCC1">
      <w:pPr>
        <w:pStyle w:val="10"/>
        <w:ind w:left="0" w:leftChars="0" w:firstLine="0" w:firstLineChars="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_GB2312" w:cs="仿宋_GB2312"/>
          <w:bCs/>
          <w:sz w:val="28"/>
          <w:szCs w:val="28"/>
        </w:rPr>
        <w:t>填报人（签名）： 刘琴                     联系电话：18373008412</w:t>
      </w:r>
    </w:p>
    <w:p w14:paraId="3DED1168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F1D3B42">
      <w:pPr>
        <w:bidi w:val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岳阳市长炼学校</w:t>
      </w:r>
    </w:p>
    <w:p w14:paraId="75283C2E">
      <w:pPr>
        <w:bidi w:val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部门整体支出绩效自评报告</w:t>
      </w:r>
    </w:p>
    <w:p w14:paraId="4C6E7EF6">
      <w:pPr>
        <w:bidi w:val="0"/>
      </w:pPr>
    </w:p>
    <w:p w14:paraId="28025806">
      <w:pPr>
        <w:pStyle w:val="2"/>
        <w:bidi w:val="0"/>
        <w:ind w:left="0" w:leftChars="0" w:firstLine="0" w:firstLineChars="0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一、部门（单位）概况</w:t>
      </w:r>
    </w:p>
    <w:p w14:paraId="79ACD74C">
      <w:pPr>
        <w:pStyle w:val="3"/>
        <w:bidi w:val="0"/>
        <w:rPr>
          <w:rFonts w:hint="default"/>
        </w:rPr>
      </w:pPr>
      <w:r>
        <w:rPr>
          <w:rFonts w:hint="default"/>
        </w:rPr>
        <w:t>（一）机构设置情况</w:t>
      </w:r>
    </w:p>
    <w:p w14:paraId="13320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岳阳市长炼学校内设机构包括：内设股室4个，分别为办公室、教务处、政教处、总务处。</w:t>
      </w:r>
    </w:p>
    <w:p w14:paraId="6167747F">
      <w:pPr>
        <w:pStyle w:val="3"/>
        <w:bidi w:val="0"/>
        <w:rPr>
          <w:rFonts w:hint="default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default"/>
        </w:rPr>
        <w:t>人员编制情况</w:t>
      </w:r>
    </w:p>
    <w:p w14:paraId="03DC2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2024年末实有人数57人，其中事业人员57人。</w:t>
      </w:r>
    </w:p>
    <w:p w14:paraId="6EA4A885">
      <w:pPr>
        <w:pStyle w:val="3"/>
        <w:bidi w:val="0"/>
        <w:rPr>
          <w:rFonts w:hint="default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default"/>
        </w:rPr>
        <w:t>主要职能职责</w:t>
      </w:r>
    </w:p>
    <w:p w14:paraId="37A62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1、按照规定标准完成教育教学任务，保证教育教学质量对辖区内适龄中小学生实行教育教学工作。</w:t>
      </w:r>
    </w:p>
    <w:p w14:paraId="13015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2、开展学校各项工作。</w:t>
      </w:r>
    </w:p>
    <w:p w14:paraId="53889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3、严格管理学校各项开支，控制三公经费支出。</w:t>
      </w:r>
    </w:p>
    <w:p w14:paraId="648FB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4、保障教职员工的工资福利待遇，保证学校各项工作顺利开展。</w:t>
      </w:r>
    </w:p>
    <w:p w14:paraId="0FDDD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5、保障全体师生安全，提高教学质量，稳定教学秩序。</w:t>
      </w:r>
    </w:p>
    <w:p w14:paraId="778E5FE7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（四）</w:t>
      </w:r>
      <w:r>
        <w:rPr>
          <w:rFonts w:hint="default"/>
          <w:lang w:val="en-US" w:eastAsia="zh-CN"/>
        </w:rPr>
        <w:t>绩效目标设定情况</w:t>
      </w:r>
    </w:p>
    <w:p w14:paraId="2296A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1.确保学生日常教育教学工作顺利开展</w:t>
      </w:r>
    </w:p>
    <w:p w14:paraId="55625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2.确保教职工的工资福利正常发放</w:t>
      </w:r>
    </w:p>
    <w:p w14:paraId="4AF46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3.确保退休教师待遇发放到位</w:t>
      </w:r>
    </w:p>
    <w:p w14:paraId="354D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4.争取在2024年度教育教学工作跃上新的台阶。</w:t>
      </w:r>
    </w:p>
    <w:p w14:paraId="496C5C42">
      <w:pPr>
        <w:pStyle w:val="2"/>
        <w:bidi w:val="0"/>
        <w:ind w:left="0" w:leftChars="0" w:firstLine="0" w:firstLineChars="0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二、一般公共预算支出情况</w:t>
      </w:r>
    </w:p>
    <w:p w14:paraId="5F0C1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根据《会计法》《预算法》《行政单位财务规则》等法律和财政部及省财政厅有关财务规章的规定，明确了经费审批权限及程序，经费预算管理、财务经费管理、资产购置与处置、财务监督等。针对“三公”经费探索建立公用经费标准定额体系，开展公用经费使用监督和绩效评估，进一步落实厉行节约的各项规定，确保“三公经费”使用合理合规等。上述制度规定基本执行到位。</w:t>
      </w:r>
    </w:p>
    <w:p w14:paraId="64245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2024年决算支出1562.08万元，其中：基本支出1504.24万元，项目支出57.84万元。</w:t>
      </w:r>
    </w:p>
    <w:p w14:paraId="021D0000">
      <w:pPr>
        <w:pStyle w:val="4"/>
        <w:numPr>
          <w:ilvl w:val="0"/>
          <w:numId w:val="1"/>
        </w:num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基本支出情况</w:t>
      </w:r>
    </w:p>
    <w:p w14:paraId="39FA6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基本支出用于为保障各部门、机构正常运转、完成日常工作任务而发生的支出，包括人员经费和公用经费。</w:t>
      </w:r>
    </w:p>
    <w:p w14:paraId="4A49B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2024年全年基本支出1480.00万元，其中：工资福利支出837.65万元、商品和服务支出205.42万元、对个人和家庭的补助433.90万元、债务利息及费用支出0万元、资本性支出0万元、其他支出0万元。</w:t>
      </w:r>
    </w:p>
    <w:p w14:paraId="6C78AC29">
      <w:pPr>
        <w:pStyle w:val="4"/>
        <w:numPr>
          <w:ilvl w:val="0"/>
          <w:numId w:val="1"/>
        </w:num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项目支出情况</w:t>
      </w:r>
    </w:p>
    <w:p w14:paraId="0AB48BDD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项目支出是在基本支出之外为完成其特定的工作任务而发生的支出，主要用于专项工作的运转和设备升级等。</w:t>
      </w:r>
    </w:p>
    <w:p w14:paraId="5A8F8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2024年项目经费支出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57.84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万元，其中:营养改善计划3.38万元，中小学校舍安全工程54.46万元。</w:t>
      </w:r>
    </w:p>
    <w:p w14:paraId="7928F623">
      <w:pPr>
        <w:pStyle w:val="4"/>
        <w:numPr>
          <w:ilvl w:val="0"/>
          <w:numId w:val="1"/>
        </w:num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“三公”经费的使用和管理情况</w:t>
      </w:r>
    </w:p>
    <w:p w14:paraId="77BEB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我单位2024年严格贯彻中央八项规定精神，厉行节约。“三公”经费的使用严格按照文件范围执行，财务人员严把票据审核的关卡，确保资金的合理使用。2024年初财政批复局机关“三公”经费预算数为0万元，其中：公务接待费0万元、因公出国（境）费用0万元、公务用车购置及运行费0万元。全年决算单位支出“三公”经费为0万元，其中：公务接待费0万元、因公出国（境）费用0万元、公务用车购置及运行费0万元。</w:t>
      </w:r>
    </w:p>
    <w:p w14:paraId="3455646C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三、政府性基金预算支出情况</w:t>
      </w:r>
    </w:p>
    <w:p w14:paraId="7630B74D">
      <w:pPr>
        <w:pStyle w:val="14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无。</w:t>
      </w:r>
    </w:p>
    <w:p w14:paraId="3FE20E63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四、国有资本经营预算支出情况</w:t>
      </w:r>
    </w:p>
    <w:p w14:paraId="0C9159B2">
      <w:pPr>
        <w:pStyle w:val="14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无。</w:t>
      </w:r>
    </w:p>
    <w:p w14:paraId="693FA6D7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五、社会保险基金预算支出情况</w:t>
      </w:r>
    </w:p>
    <w:p w14:paraId="37353CD6">
      <w:pPr>
        <w:pStyle w:val="14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无。</w:t>
      </w:r>
    </w:p>
    <w:p w14:paraId="678C928A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六、部门整体支出绩效情况</w:t>
      </w:r>
    </w:p>
    <w:p w14:paraId="2D722CE3">
      <w:pPr>
        <w:pStyle w:val="3"/>
        <w:bidi w:val="0"/>
        <w:ind w:left="0" w:leftChars="0" w:firstLine="0" w:firstLineChars="0"/>
        <w:rPr>
          <w:rFonts w:hint="default"/>
        </w:rPr>
      </w:pPr>
      <w:r>
        <w:rPr>
          <w:rFonts w:hint="default"/>
        </w:rPr>
        <w:t>（一）综合评价结论</w:t>
      </w:r>
    </w:p>
    <w:p w14:paraId="261BE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经自评，2024年度我单位部门整体支出绩效评价结论为“优”，自查评分为100分。</w:t>
      </w:r>
    </w:p>
    <w:p w14:paraId="55B486D6">
      <w:pPr>
        <w:pStyle w:val="3"/>
        <w:bidi w:val="0"/>
        <w:ind w:left="0" w:leftChars="0" w:firstLine="0" w:firstLineChars="0"/>
        <w:rPr>
          <w:rFonts w:hint="default"/>
        </w:rPr>
      </w:pPr>
      <w:r>
        <w:rPr>
          <w:rFonts w:hint="default"/>
        </w:rPr>
        <w:t>（二）评价指标分析</w:t>
      </w:r>
    </w:p>
    <w:p w14:paraId="5480A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1、经济效益</w:t>
      </w:r>
    </w:p>
    <w:p w14:paraId="47D80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一般公共预算财政拨款资金得到有效利用，努力提高辖区内学生入学率。</w:t>
      </w:r>
    </w:p>
    <w:p w14:paraId="34859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2、社会效益指标</w:t>
      </w:r>
    </w:p>
    <w:p w14:paraId="726E6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一、行政运行与管理规范</w:t>
      </w:r>
    </w:p>
    <w:p w14:paraId="776CC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0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1.坚持例会与决策机制： 坚持每周一召开行政会议，传达上级精神，部署工作，保障政令畅通。</w:t>
      </w:r>
    </w:p>
    <w:p w14:paraId="31D7E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0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2.落实值班联点制度： 严格执行行政值班及校领导联点年级组、教研组制度。</w:t>
      </w:r>
    </w:p>
    <w:p w14:paraId="18BBB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0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3.领导率先垂范： 校领导班子成员勤政务实，深入一线，均承担教学及听课任务。</w:t>
      </w:r>
    </w:p>
    <w:p w14:paraId="50280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0" w:firstLineChars="1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4.民主决策与公开透明： 学校所有规章制度均经教职工大会宣讲、教代会投票通过；职称评定、岗位异动、绩效发放等重大考核结果一律公示。</w:t>
      </w:r>
    </w:p>
    <w:p w14:paraId="0DFC1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二、德育工作成效显著</w:t>
      </w:r>
    </w:p>
    <w:p w14:paraId="0B3D9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1.常规管理精细化： 完善班级常规评价系统，修订班主任绩效考核方案，实行周讲评、月考核。</w:t>
      </w:r>
    </w:p>
    <w:p w14:paraId="1E387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2.特色活动常态化：</w:t>
      </w:r>
    </w:p>
    <w:p w14:paraId="70F9C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扎实开展新生入学、入队退队、建队日、艺术节、运动会、军训等常规活动。</w:t>
      </w:r>
    </w:p>
    <w:p w14:paraId="61A52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持续开展爱心义卖助学、关爱留守儿童、“手拉手”、少代会、“红领巾奖章”评选、消防实践、“弯腰行动”、校内励志助学等特色活动。</w:t>
      </w:r>
    </w:p>
    <w:p w14:paraId="38C86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高质量完成“向国旗敬礼”、“争做新时代好队员”、“宪法晨读”及区阳光体育运动会等上级活动。</w:t>
      </w:r>
    </w:p>
    <w:p w14:paraId="1D5FA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0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3.安全管理规范化：</w:t>
      </w:r>
    </w:p>
    <w:p w14:paraId="1CD6B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制定《安保人员工作行为规范守则》，门卫室安装监控。</w:t>
      </w:r>
    </w:p>
    <w:p w14:paraId="4EA50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严格执行《外来人员(车辆)和学生出入校园管理制度》。</w:t>
      </w:r>
    </w:p>
    <w:p w14:paraId="1991E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全面落实各项安全教育活动。</w:t>
      </w:r>
    </w:p>
    <w:p w14:paraId="657A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0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4.家校协同机制化： 建立校、班两级家委会，定期召开家委会会议、家长会，依托家长学校开展系统化培训。</w:t>
      </w:r>
    </w:p>
    <w:p w14:paraId="52EC3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0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5.心理健康教育做实做细：</w:t>
      </w:r>
    </w:p>
    <w:p w14:paraId="0234D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定期对班主任、年级组长、心理委员、家长进行培训。</w:t>
      </w:r>
    </w:p>
    <w:p w14:paraId="79B20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对六至九年级学生实施心理普查，对普查发现异常的72名学生，建立由科任教师访谈、联点领导-年级组长-班主任“一帮一”结对干预跟踪模式。</w:t>
      </w:r>
    </w:p>
    <w:p w14:paraId="20A86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设立每周心理疏导时间及“悄悄话信箱”，对高危学生进行不定期跟踪访谈与家校沟通，严防情况恶化。</w:t>
      </w:r>
    </w:p>
    <w:p w14:paraId="16B5F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三、课堂教学与质量提升</w:t>
      </w:r>
    </w:p>
    <w:p w14:paraId="54133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1.听评课制度化：实施全员听评课活动，按月统计并公示结果。</w:t>
      </w:r>
    </w:p>
    <w:p w14:paraId="05627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2.教研交流常态化：积极组织教师“走出去，请进来”，促进教研动态交流。</w:t>
      </w:r>
    </w:p>
    <w:p w14:paraId="7D281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3.“青蓝工程”实效化：教务处定期跟踪检查师徒听课情况并公示。</w:t>
      </w:r>
    </w:p>
    <w:p w14:paraId="4649C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4.行政推动教学：行政班子深入教学一线，助力教学质量提升。</w:t>
      </w:r>
    </w:p>
    <w:p w14:paraId="06583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5.搭建平台丰富课服：</w:t>
      </w:r>
    </w:p>
    <w:p w14:paraId="59ED1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着力建设书香校园。</w:t>
      </w:r>
    </w:p>
    <w:p w14:paraId="234F9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小学课后服务坚持“4+1”模式，开设玩转科学、机器人、射箭、书法、葫芦丝等22个兴趣班，提升学生综合素养。</w:t>
      </w:r>
    </w:p>
    <w:p w14:paraId="0FB94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四、教职工队伍建设</w:t>
      </w:r>
    </w:p>
    <w:p w14:paraId="60436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师德师风常抓不懈：</w:t>
      </w:r>
    </w:p>
    <w:p w14:paraId="4B3AE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组织全体教师签订各类师德承诺书。</w:t>
      </w:r>
    </w:p>
    <w:p w14:paraId="6774D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召开防性侵专题会议，组织观看《师者如是》系列演讲。</w:t>
      </w:r>
    </w:p>
    <w:p w14:paraId="73D4A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组织学习《上班纪律要求七项规定》。</w:t>
      </w:r>
    </w:p>
    <w:p w14:paraId="55984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开展第四届师德师风“每月一星”标兵评选活动。</w:t>
      </w:r>
    </w:p>
    <w:p w14:paraId="150EB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1" w:firstLineChars="1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3、社会公众满意度</w:t>
      </w:r>
    </w:p>
    <w:p w14:paraId="7B719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学生、教师、家长满意度95%以上，今后仍需不断努力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0A7906CD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七、存在的问题及原因分析</w:t>
      </w:r>
    </w:p>
    <w:p w14:paraId="7D242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2024年我单位无预算支出执行偏离绩效目标的情况。</w:t>
      </w:r>
    </w:p>
    <w:p w14:paraId="1D60E20C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八、下一步改进措施</w:t>
      </w:r>
    </w:p>
    <w:p w14:paraId="08A545B3">
      <w:pPr>
        <w:pStyle w:val="14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无。</w:t>
      </w:r>
    </w:p>
    <w:p w14:paraId="64663160">
      <w:pPr>
        <w:pStyle w:val="2"/>
        <w:bidi w:val="0"/>
        <w:ind w:left="0" w:leftChars="0" w:firstLine="0" w:firstLineChars="0"/>
        <w:rPr>
          <w:rFonts w:hint="eastAsia"/>
          <w:lang w:val="en-US" w:eastAsia="en-US"/>
        </w:rPr>
      </w:pPr>
      <w:r>
        <w:rPr>
          <w:rFonts w:hint="eastAsia"/>
          <w:lang w:val="en-US" w:eastAsia="en-US"/>
        </w:rPr>
        <w:t>九、其他需要说明的情况</w:t>
      </w:r>
    </w:p>
    <w:p w14:paraId="3DB9B0FD">
      <w:pPr>
        <w:pStyle w:val="14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无。</w:t>
      </w:r>
    </w:p>
    <w:p w14:paraId="6C39EC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E93F7">
    <w:pPr>
      <w:pStyle w:val="5"/>
      <w:framePr w:wrap="around" w:vAnchor="text" w:hAnchor="margin" w:xAlign="outside" w:y="1"/>
      <w:rPr>
        <w:rStyle w:val="9"/>
        <w:sz w:val="24"/>
        <w:szCs w:val="24"/>
      </w:rPr>
    </w:pPr>
    <w:r>
      <w:rPr>
        <w:rStyle w:val="9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9"/>
        <w:sz w:val="24"/>
        <w:szCs w:val="24"/>
      </w:rPr>
      <w:t>2</w:t>
    </w:r>
    <w:r>
      <w:rPr>
        <w:sz w:val="24"/>
        <w:szCs w:val="24"/>
      </w:rPr>
      <w:fldChar w:fldCharType="end"/>
    </w:r>
    <w:r>
      <w:rPr>
        <w:rStyle w:val="9"/>
        <w:rFonts w:hint="eastAsia"/>
        <w:sz w:val="24"/>
        <w:szCs w:val="24"/>
      </w:rPr>
      <w:t xml:space="preserve"> —</w:t>
    </w:r>
  </w:p>
  <w:p w14:paraId="08FE55F5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8FB28"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 w14:paraId="1E779A4E">
    <w:pPr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7498EA"/>
    <w:multiLevelType w:val="singleLevel"/>
    <w:tmpl w:val="387498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172A27"/>
    <w:rsid w:val="032B47A9"/>
    <w:rsid w:val="03AA1A5C"/>
    <w:rsid w:val="03DC1511"/>
    <w:rsid w:val="05375E6B"/>
    <w:rsid w:val="09F45FD8"/>
    <w:rsid w:val="0B030CC8"/>
    <w:rsid w:val="0C791C75"/>
    <w:rsid w:val="11DD21FB"/>
    <w:rsid w:val="12524FF3"/>
    <w:rsid w:val="134757D6"/>
    <w:rsid w:val="152C2AC9"/>
    <w:rsid w:val="1617714B"/>
    <w:rsid w:val="1711679D"/>
    <w:rsid w:val="186A0D56"/>
    <w:rsid w:val="19544915"/>
    <w:rsid w:val="1B650AE3"/>
    <w:rsid w:val="1D470521"/>
    <w:rsid w:val="1F713AC0"/>
    <w:rsid w:val="1FF85DC6"/>
    <w:rsid w:val="20756E2D"/>
    <w:rsid w:val="26543C2E"/>
    <w:rsid w:val="27D863C0"/>
    <w:rsid w:val="2AB54840"/>
    <w:rsid w:val="2AE61515"/>
    <w:rsid w:val="2D7E77E3"/>
    <w:rsid w:val="2DD67B47"/>
    <w:rsid w:val="320B6A4B"/>
    <w:rsid w:val="38D17A67"/>
    <w:rsid w:val="3DE6565C"/>
    <w:rsid w:val="407734AC"/>
    <w:rsid w:val="41203882"/>
    <w:rsid w:val="41265F61"/>
    <w:rsid w:val="42075CA8"/>
    <w:rsid w:val="439329B5"/>
    <w:rsid w:val="447A08AC"/>
    <w:rsid w:val="456D6663"/>
    <w:rsid w:val="45795F75"/>
    <w:rsid w:val="468A6DA0"/>
    <w:rsid w:val="48FA4E76"/>
    <w:rsid w:val="4D956757"/>
    <w:rsid w:val="4E8B1F67"/>
    <w:rsid w:val="510D0FC2"/>
    <w:rsid w:val="522B768A"/>
    <w:rsid w:val="55947970"/>
    <w:rsid w:val="55BA31FE"/>
    <w:rsid w:val="596423C7"/>
    <w:rsid w:val="5B5B0FE0"/>
    <w:rsid w:val="5CC772D2"/>
    <w:rsid w:val="5F663B83"/>
    <w:rsid w:val="5F8D53A3"/>
    <w:rsid w:val="62326812"/>
    <w:rsid w:val="624A5785"/>
    <w:rsid w:val="624F2C18"/>
    <w:rsid w:val="62DD6A50"/>
    <w:rsid w:val="63660064"/>
    <w:rsid w:val="63E53BC8"/>
    <w:rsid w:val="64673F7C"/>
    <w:rsid w:val="65D00FC6"/>
    <w:rsid w:val="69C12CD2"/>
    <w:rsid w:val="6B38404F"/>
    <w:rsid w:val="6B8A28E3"/>
    <w:rsid w:val="73C70602"/>
    <w:rsid w:val="76C92F4B"/>
    <w:rsid w:val="76EA1012"/>
    <w:rsid w:val="785771FF"/>
    <w:rsid w:val="78A50E3F"/>
    <w:rsid w:val="7AAC2882"/>
    <w:rsid w:val="7C582B10"/>
    <w:rsid w:val="7DAD0FE3"/>
    <w:rsid w:val="7DED5DF2"/>
    <w:rsid w:val="7EF0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/>
      <w:bCs/>
      <w:sz w:val="32"/>
      <w:szCs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eastAsia="仿宋_GB2312" w:asciiTheme="minorAscii" w:hAnsiTheme="minorAscii"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autoRedefine/>
    <w:qFormat/>
    <w:uiPriority w:val="0"/>
  </w:style>
  <w:style w:type="paragraph" w:customStyle="1" w:styleId="10">
    <w:name w:val="BodyText1I2"/>
    <w:basedOn w:val="11"/>
    <w:autoRedefine/>
    <w:qFormat/>
    <w:uiPriority w:val="0"/>
    <w:pPr>
      <w:spacing w:before="100" w:beforeAutospacing="1" w:after="0"/>
      <w:ind w:left="0" w:firstLine="420" w:firstLineChars="200"/>
    </w:pPr>
    <w:rPr>
      <w:rFonts w:ascii="Calibri" w:hAnsi="Calibri"/>
    </w:rPr>
  </w:style>
  <w:style w:type="paragraph" w:customStyle="1" w:styleId="11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12">
    <w:name w:val="BodyText1I"/>
    <w:basedOn w:val="1"/>
    <w:autoRedefine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customStyle="1" w:styleId="13">
    <w:name w:val="标题1"/>
    <w:basedOn w:val="3"/>
    <w:autoRedefine/>
    <w:qFormat/>
    <w:uiPriority w:val="0"/>
    <w:rPr>
      <w:rFonts w:eastAsia="黑体"/>
    </w:rPr>
  </w:style>
  <w:style w:type="paragraph" w:customStyle="1" w:styleId="14">
    <w:name w:val="List Paragraph_a0f507d5-6e28-4914-b37f-020b7d2b0f7c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2254</Words>
  <Characters>2599</Characters>
  <Lines>1</Lines>
  <Paragraphs>1</Paragraphs>
  <TotalTime>2</TotalTime>
  <ScaleCrop>false</ScaleCrop>
  <LinksUpToDate>false</LinksUpToDate>
  <CharactersWithSpaces>3008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2024-05-20T07:10:00Z</dcterms:created>
  <dc:creator>HNBS-WORKER3</dc:creator>
  <cp:lastModifiedBy>XIE</cp:lastModifiedBy>
  <dcterms:modified xsi:type="dcterms:W3CDTF">2025-06-13T09:30:32Z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2EACD47548BD4DE7A4D66C6CD41716BF_13</vt:lpwstr>
  </property>
  <property fmtid="{D5CDD505-2E9C-101B-9397-08002B2CF9AE}" pid="4" name="KSOTemplateDocerSaveRecord">
    <vt:lpwstr>eyJoZGlkIjoiN2YzNjBkOTgyNWQ1YTMxYzM3MzMwNWFiODNmOWIzYWMiLCJ1c2VySWQiOiIxMTU1MzM3MzE4In0=</vt:lpwstr>
  </property>
</Properties>
</file>