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4F42F">
      <w:pPr>
        <w:bidi w:val="0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35C14153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725BE572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eastAsia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填报单位：岳阳市岳化二小                                   </w:t>
      </w:r>
    </w:p>
    <w:tbl>
      <w:tblPr>
        <w:tblStyle w:val="9"/>
        <w:tblW w:w="5425" w:type="pct"/>
        <w:tblInd w:w="-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792"/>
        <w:gridCol w:w="1222"/>
        <w:gridCol w:w="925"/>
        <w:gridCol w:w="1325"/>
        <w:gridCol w:w="976"/>
        <w:gridCol w:w="1241"/>
      </w:tblGrid>
      <w:tr w14:paraId="29ED3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C4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B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4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5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控制率</w:t>
            </w:r>
          </w:p>
        </w:tc>
      </w:tr>
      <w:tr w14:paraId="26C2A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B9F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E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2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2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124.00%</w:t>
            </w:r>
          </w:p>
        </w:tc>
      </w:tr>
      <w:tr w14:paraId="76A34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4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C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7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3D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2024年决算数</w:t>
            </w:r>
          </w:p>
        </w:tc>
      </w:tr>
      <w:tr w14:paraId="5F204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C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D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E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0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2C8DE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A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A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2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1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3987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1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7A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9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A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B83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6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F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51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1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5A6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C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D1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A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6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76C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74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33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2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CE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DD3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0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4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7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5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143E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F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8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C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3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7625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9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D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7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67.02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B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67.02</w:t>
            </w:r>
          </w:p>
        </w:tc>
      </w:tr>
      <w:tr w14:paraId="639CE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34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1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B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5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248BD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B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2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79.43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C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23.84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D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122.72</w:t>
            </w:r>
          </w:p>
        </w:tc>
      </w:tr>
      <w:tr w14:paraId="14599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6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5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6.56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B29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4B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9.48</w:t>
            </w:r>
          </w:p>
        </w:tc>
      </w:tr>
      <w:tr w14:paraId="676FE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5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F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5.63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22A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A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8.17</w:t>
            </w:r>
          </w:p>
        </w:tc>
      </w:tr>
      <w:tr w14:paraId="36B65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4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E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4.31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3B1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C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3.84</w:t>
            </w:r>
          </w:p>
        </w:tc>
      </w:tr>
      <w:tr w14:paraId="743C6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9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E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49.62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E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10.25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8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45.87</w:t>
            </w:r>
          </w:p>
        </w:tc>
      </w:tr>
      <w:tr w14:paraId="6CC0E9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E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8D1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5D5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4C5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893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21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楼堂馆所控制情况 </w:t>
            </w:r>
          </w:p>
          <w:p w14:paraId="4BD1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5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批复规模 </w:t>
            </w:r>
          </w:p>
          <w:p w14:paraId="7F4C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1D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实际规模</w:t>
            </w:r>
          </w:p>
          <w:p w14:paraId="2BB2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E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74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预算投资</w:t>
            </w:r>
          </w:p>
          <w:p w14:paraId="7E6F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AA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实际投资</w:t>
            </w:r>
          </w:p>
          <w:p w14:paraId="0937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A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投资概算控制率</w:t>
            </w:r>
          </w:p>
        </w:tc>
      </w:tr>
      <w:tr w14:paraId="1B6E5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D53F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2D30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438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8DC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DEC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A93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012B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2BE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C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3338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47E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1、预算管理精细化；２、采购管理精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细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化；３、财务管理透明化。</w:t>
            </w:r>
          </w:p>
        </w:tc>
      </w:tr>
    </w:tbl>
    <w:p w14:paraId="57CCF2D0">
      <w:pPr>
        <w:pStyle w:val="1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eastAsia="仿宋_GB2312"/>
          <w:kern w:val="0"/>
          <w:sz w:val="22"/>
        </w:rPr>
      </w:pPr>
    </w:p>
    <w:p w14:paraId="325DD127">
      <w:pPr>
        <w:pStyle w:val="1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4650CA0E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填表人：卢燕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填报日期：</w:t>
      </w:r>
      <w:r>
        <w:rPr>
          <w:rFonts w:hint="eastAsia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2025.6.12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联系电话：18173088836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单位负责人签字：</w:t>
      </w:r>
    </w:p>
    <w:p w14:paraId="5687B7E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780FB8A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3-1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020A559F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4F5BB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岳阳市云溪区</w:t>
      </w:r>
      <w:r>
        <w:rPr>
          <w:rFonts w:hint="eastAsia" w:ascii="宋体" w:hAnsi="宋体" w:eastAsia="宋体" w:cs="宋体"/>
          <w:b/>
          <w:bCs w:val="0"/>
          <w:sz w:val="46"/>
          <w:szCs w:val="46"/>
          <w:u w:val="single"/>
        </w:rPr>
        <w:t>20</w:t>
      </w:r>
      <w:r>
        <w:rPr>
          <w:rFonts w:hint="eastAsia" w:ascii="宋体" w:hAnsi="宋体" w:eastAsia="宋体" w:cs="宋体"/>
          <w:b/>
          <w:bCs w:val="0"/>
          <w:sz w:val="46"/>
          <w:szCs w:val="46"/>
          <w:u w:val="single"/>
          <w:lang w:val="en-US" w:eastAsia="zh-CN"/>
        </w:rPr>
        <w:t>2</w:t>
      </w:r>
      <w:r>
        <w:rPr>
          <w:rFonts w:hint="eastAsia" w:ascii="宋体" w:hAnsi="宋体" w:cs="宋体"/>
          <w:b/>
          <w:bCs w:val="0"/>
          <w:sz w:val="46"/>
          <w:szCs w:val="46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年度部门整体支出</w:t>
      </w:r>
    </w:p>
    <w:p w14:paraId="1C45F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绩效评价自评报告</w:t>
      </w:r>
    </w:p>
    <w:p w14:paraId="4BB93C6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107BBC4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  <w:r>
        <w:rPr>
          <w:rFonts w:hint="eastAsia" w:eastAsia="仿宋_GB2312"/>
          <w:b/>
          <w:sz w:val="32"/>
          <w:lang w:val="en-US" w:eastAsia="zh-CN"/>
        </w:rPr>
        <w:t xml:space="preserve"> </w:t>
      </w:r>
    </w:p>
    <w:p w14:paraId="4BC0A76A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21E6C25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2F9F6E7C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02842DF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岳阳市岳化二小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</w:p>
    <w:p w14:paraId="6080346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139029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 xml:space="preserve">    </w:t>
      </w:r>
    </w:p>
    <w:p w14:paraId="18BF531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 w14:paraId="35577388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 w14:paraId="4DE4A04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3774D09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716E062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64E145EF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</w:p>
    <w:p w14:paraId="63C1654A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</w:t>
      </w: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2025</w:t>
      </w:r>
      <w:r>
        <w:rPr>
          <w:rFonts w:hint="eastAsia" w:eastAsia="仿宋_GB2312"/>
          <w:sz w:val="32"/>
        </w:rPr>
        <w:t xml:space="preserve"> 年 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 xml:space="preserve">  月 </w:t>
      </w:r>
      <w:r>
        <w:rPr>
          <w:rFonts w:hint="eastAsia" w:eastAsia="仿宋_GB2312"/>
          <w:sz w:val="32"/>
          <w:lang w:val="en-US" w:eastAsia="zh-CN"/>
        </w:rPr>
        <w:t>12</w:t>
      </w:r>
      <w:r>
        <w:rPr>
          <w:rFonts w:hint="eastAsia" w:eastAsia="仿宋_GB2312"/>
          <w:sz w:val="32"/>
        </w:rPr>
        <w:t xml:space="preserve">  日</w:t>
      </w:r>
    </w:p>
    <w:p w14:paraId="244EB199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spacing w:line="560" w:lineRule="exact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eastAsia" w:eastAsia="仿宋_GB2312"/>
          <w:sz w:val="32"/>
          <w:lang w:eastAsia="zh-CN"/>
        </w:rPr>
        <w:t>岳阳市岳化二小</w:t>
      </w:r>
      <w:r>
        <w:rPr>
          <w:rFonts w:hint="eastAsia" w:eastAsia="仿宋_GB2312"/>
          <w:sz w:val="32"/>
          <w:szCs w:val="32"/>
        </w:rPr>
        <w:t>（制）</w:t>
      </w:r>
    </w:p>
    <w:p w14:paraId="29912BFD">
      <w:pPr>
        <w:pStyle w:val="15"/>
        <w:rPr>
          <w:rFonts w:hint="eastAsia" w:eastAsia="仿宋_GB2312"/>
          <w:sz w:val="32"/>
          <w:szCs w:val="32"/>
        </w:rPr>
      </w:pPr>
    </w:p>
    <w:p w14:paraId="20A26C83">
      <w:pPr>
        <w:pStyle w:val="15"/>
        <w:rPr>
          <w:rFonts w:hint="eastAsia" w:eastAsia="仿宋_GB2312"/>
          <w:sz w:val="32"/>
          <w:szCs w:val="32"/>
        </w:rPr>
      </w:pPr>
    </w:p>
    <w:p w14:paraId="2C3CC469">
      <w:pPr>
        <w:pStyle w:val="15"/>
        <w:rPr>
          <w:rFonts w:hint="eastAsia" w:eastAsia="仿宋_GB2312"/>
          <w:sz w:val="32"/>
          <w:szCs w:val="32"/>
        </w:rPr>
      </w:pPr>
    </w:p>
    <w:p w14:paraId="60C5225C">
      <w:pPr>
        <w:pStyle w:val="15"/>
        <w:rPr>
          <w:rFonts w:hint="eastAsia" w:eastAsia="仿宋_GB2312"/>
          <w:sz w:val="32"/>
          <w:szCs w:val="32"/>
        </w:rPr>
      </w:pPr>
    </w:p>
    <w:p w14:paraId="27EB316D">
      <w:pPr>
        <w:pStyle w:val="15"/>
        <w:rPr>
          <w:rFonts w:hint="eastAsia" w:eastAsia="仿宋_GB2312"/>
          <w:sz w:val="32"/>
          <w:szCs w:val="32"/>
        </w:rPr>
      </w:pPr>
    </w:p>
    <w:p w14:paraId="2C89E094">
      <w:pPr>
        <w:pStyle w:val="15"/>
        <w:rPr>
          <w:rFonts w:hint="eastAsia" w:eastAsia="仿宋_GB2312"/>
          <w:sz w:val="32"/>
          <w:szCs w:val="32"/>
        </w:rPr>
        <w:sectPr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4F77359D"/>
    <w:p w14:paraId="774A418D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9"/>
        <w:tblW w:w="5495" w:type="pct"/>
        <w:tblInd w:w="-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856"/>
        <w:gridCol w:w="887"/>
        <w:gridCol w:w="412"/>
        <w:gridCol w:w="1077"/>
        <w:gridCol w:w="1170"/>
        <w:gridCol w:w="990"/>
        <w:gridCol w:w="968"/>
        <w:gridCol w:w="666"/>
        <w:gridCol w:w="626"/>
        <w:gridCol w:w="963"/>
      </w:tblGrid>
      <w:tr w14:paraId="189B6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</w:tblPrEx>
        <w:trPr>
          <w:trHeight w:val="764" w:hRule="atLeast"/>
        </w:trPr>
        <w:tc>
          <w:tcPr>
            <w:tcW w:w="8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E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4141" w:type="pct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0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岳阳市岳化二小</w:t>
            </w:r>
          </w:p>
        </w:tc>
      </w:tr>
      <w:tr w14:paraId="0B017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FB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</w:p>
          <w:p w14:paraId="3283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197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8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年初预算数(万元)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C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全年预算数（万元）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A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全年执行数（万元）</w:t>
            </w:r>
          </w:p>
        </w:tc>
        <w:tc>
          <w:tcPr>
            <w:tcW w:w="87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15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5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D6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4901C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DD8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3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7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6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1019.24</w:t>
            </w:r>
          </w:p>
        </w:tc>
        <w:tc>
          <w:tcPr>
            <w:tcW w:w="6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2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1232.20</w:t>
            </w:r>
          </w:p>
        </w:tc>
        <w:tc>
          <w:tcPr>
            <w:tcW w:w="52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4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1232.20</w:t>
            </w:r>
          </w:p>
        </w:tc>
        <w:tc>
          <w:tcPr>
            <w:tcW w:w="87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E5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D7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C2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 w14:paraId="2B7CC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4AB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1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678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172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4D0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按支出性质分：</w:t>
            </w:r>
          </w:p>
        </w:tc>
      </w:tr>
      <w:tr w14:paraId="76457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38B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17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172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A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1232.20</w:t>
            </w:r>
          </w:p>
        </w:tc>
        <w:tc>
          <w:tcPr>
            <w:tcW w:w="872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3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84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2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1165.18</w:t>
            </w:r>
          </w:p>
        </w:tc>
      </w:tr>
      <w:tr w14:paraId="1887A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18A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7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172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0C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399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8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C9AE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38C5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54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172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1E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E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84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DD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67.02</w:t>
            </w:r>
          </w:p>
        </w:tc>
      </w:tr>
      <w:tr w14:paraId="3EB32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0FDB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9B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72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E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872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FF47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A15F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622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4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421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9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72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93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02C9D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DF6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1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9D5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1、保障教师工资福利足额发放。</w:t>
            </w:r>
          </w:p>
          <w:p w14:paraId="25BC2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2、保障教师“四险一金”缴纳。</w:t>
            </w:r>
          </w:p>
          <w:p w14:paraId="3C793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3、保障学校正常教学工作开展。</w:t>
            </w:r>
          </w:p>
          <w:p w14:paraId="7A0EF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4、保障退休教师和遗属人员待遇。</w:t>
            </w:r>
          </w:p>
          <w:p w14:paraId="66FD6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5、实施小学义务教育。</w:t>
            </w:r>
          </w:p>
        </w:tc>
        <w:tc>
          <w:tcPr>
            <w:tcW w:w="1720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EF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已按计划完成</w:t>
            </w:r>
          </w:p>
        </w:tc>
      </w:tr>
      <w:tr w14:paraId="40B05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D9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E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F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94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E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52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B7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51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B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5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E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7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51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A7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705D8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09E4A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1EF7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DB72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763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401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344B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BB44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79DC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664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5F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44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43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81E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7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足额投入日常公用经费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DA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90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8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4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855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EE3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1C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B2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DF4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F7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四险一金缴纳率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3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F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81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A8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2EF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08EE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330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38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FA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8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足额发放退休教职工待遇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44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5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2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7D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678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C43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72C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BB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14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0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发放教师工资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6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≥62人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C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62人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7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F7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739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BFD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8B599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C369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0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C27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小学生入学率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D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CC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A0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F8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95B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A3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E6EDE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67D6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BA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6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小学升学率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9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F6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F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5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F86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663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47E3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8A0355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FB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79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5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任务完成时间</w:t>
            </w:r>
          </w:p>
        </w:tc>
        <w:tc>
          <w:tcPr>
            <w:tcW w:w="115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A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2024年12月31日前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3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2024年12月31日前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C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F2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D69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033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38102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D1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9C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B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学校正常开展各项业务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F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学校正常开展各项业务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F9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正常开展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14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66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0AB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D11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E26E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5783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49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0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保障入学儿童100%升入初中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A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68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2C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5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A89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86D2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1C3B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D0FE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71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79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02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7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0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7CC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9094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334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841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D88B9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C522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50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205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学校办学条件持续改善，教学质量持续提高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D11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E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6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C7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2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8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92D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CFE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AF2F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23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9E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79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78D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学生、教师、家长满意度</w:t>
            </w:r>
          </w:p>
        </w:tc>
        <w:tc>
          <w:tcPr>
            <w:tcW w:w="115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50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1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2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B2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574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F56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6C69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9E2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CD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489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D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预算控制数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A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≤1232.20万元</w:t>
            </w:r>
          </w:p>
        </w:tc>
        <w:tc>
          <w:tcPr>
            <w:tcW w:w="9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23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1232.20万元</w:t>
            </w: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13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F1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65A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AF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4AF11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1D1B5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1A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79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C93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7A5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3341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8482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46FA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298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4AB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3EC7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D0EB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A1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79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9E8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26D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FCA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794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A0D4F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8CCD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EC4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372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绩效自评综合得分</w:t>
            </w:r>
          </w:p>
        </w:tc>
        <w:tc>
          <w:tcPr>
            <w:tcW w:w="3668" w:type="pct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7C76E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100分</w:t>
            </w:r>
          </w:p>
        </w:tc>
      </w:tr>
      <w:tr w14:paraId="1E90E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77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评价等次</w:t>
            </w:r>
          </w:p>
        </w:tc>
        <w:tc>
          <w:tcPr>
            <w:tcW w:w="3668" w:type="pct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CB8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</w:tr>
    </w:tbl>
    <w:p w14:paraId="2FFBE6CB">
      <w:pPr>
        <w:pStyle w:val="13"/>
      </w:pPr>
    </w:p>
    <w:p w14:paraId="4BBCB378">
      <w:pPr>
        <w:pStyle w:val="13"/>
      </w:pPr>
    </w:p>
    <w:p w14:paraId="58EA97D8">
      <w:pPr>
        <w:pStyle w:val="13"/>
      </w:pPr>
    </w:p>
    <w:p w14:paraId="0DE6CD96">
      <w:pPr>
        <w:pStyle w:val="13"/>
        <w:ind w:left="0" w:leftChars="0" w:firstLine="0" w:firstLineChars="0"/>
      </w:pPr>
    </w:p>
    <w:p w14:paraId="51B8881F">
      <w:pPr>
        <w:pStyle w:val="13"/>
        <w:ind w:left="0" w:leftChars="0" w:firstLine="0" w:firstLineChars="0"/>
      </w:pPr>
    </w:p>
    <w:p w14:paraId="1E87C2B8">
      <w:pPr>
        <w:pStyle w:val="13"/>
        <w:ind w:left="0" w:leftChars="0" w:firstLine="0" w:firstLineChars="0"/>
      </w:pPr>
    </w:p>
    <w:p w14:paraId="6F1DEEF8">
      <w:pPr>
        <w:pStyle w:val="13"/>
        <w:ind w:left="0" w:leftChars="0" w:firstLine="0" w:firstLineChars="0"/>
      </w:pPr>
    </w:p>
    <w:p w14:paraId="537C6FA7">
      <w:pPr>
        <w:pStyle w:val="13"/>
        <w:ind w:left="0" w:leftChars="0" w:firstLine="0" w:firstLineChars="0"/>
      </w:pPr>
    </w:p>
    <w:tbl>
      <w:tblPr>
        <w:tblStyle w:val="9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54"/>
        <w:gridCol w:w="3561"/>
        <w:gridCol w:w="1479"/>
        <w:gridCol w:w="3106"/>
      </w:tblGrid>
      <w:tr w14:paraId="0CE72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5A551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 w14:paraId="0C988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noWrap w:val="0"/>
            <w:vAlign w:val="center"/>
          </w:tcPr>
          <w:p w14:paraId="2C74C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noWrap w:val="0"/>
            <w:vAlign w:val="center"/>
          </w:tcPr>
          <w:p w14:paraId="124C8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 w14:paraId="7F44F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noWrap w:val="0"/>
            <w:vAlign w:val="center"/>
          </w:tcPr>
          <w:p w14:paraId="04058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 w14:paraId="2E5B1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0CF29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周波</w:t>
            </w:r>
          </w:p>
        </w:tc>
        <w:tc>
          <w:tcPr>
            <w:tcW w:w="3561" w:type="dxa"/>
            <w:noWrap w:val="0"/>
            <w:vAlign w:val="center"/>
          </w:tcPr>
          <w:p w14:paraId="20844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副校长</w:t>
            </w:r>
          </w:p>
        </w:tc>
        <w:tc>
          <w:tcPr>
            <w:tcW w:w="1479" w:type="dxa"/>
            <w:noWrap w:val="0"/>
            <w:vAlign w:val="center"/>
          </w:tcPr>
          <w:p w14:paraId="519C1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5DE4E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0678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498F4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蒋慰</w:t>
            </w:r>
          </w:p>
        </w:tc>
        <w:tc>
          <w:tcPr>
            <w:tcW w:w="3561" w:type="dxa"/>
            <w:noWrap w:val="0"/>
            <w:vAlign w:val="center"/>
          </w:tcPr>
          <w:p w14:paraId="0A4B9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办公室主任</w:t>
            </w:r>
          </w:p>
        </w:tc>
        <w:tc>
          <w:tcPr>
            <w:tcW w:w="1479" w:type="dxa"/>
            <w:noWrap w:val="0"/>
            <w:vAlign w:val="center"/>
          </w:tcPr>
          <w:p w14:paraId="25DC9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0B98C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5040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47794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3F241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20694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51FD9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A65F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37B83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5C870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1ACC7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3B323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3493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5ACA4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 w14:paraId="569F0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7FA8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A186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A203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7249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0883A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9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1F4CC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 w14:paraId="164B9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0890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14:paraId="26D50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508D7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5F2C3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财政部门归口业务股室意见：</w:t>
            </w:r>
          </w:p>
          <w:p w14:paraId="52C03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</w:p>
          <w:p w14:paraId="5830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财政部门归口业务股室负责人（签章）：</w:t>
            </w:r>
          </w:p>
          <w:p w14:paraId="500CB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 w14:paraId="4877683F">
      <w:pPr>
        <w:pStyle w:val="13"/>
        <w:ind w:left="0" w:leftChars="0" w:firstLine="0" w:firstLineChars="0"/>
        <w:jc w:val="lef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 w:cs="仿宋_GB2312"/>
          <w:bCs/>
          <w:sz w:val="28"/>
          <w:szCs w:val="28"/>
        </w:rPr>
        <w:t>填报人（签名）：卢燕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 xml:space="preserve">                </w:t>
      </w:r>
      <w:r>
        <w:rPr>
          <w:rFonts w:hint="eastAsia" w:eastAsia="仿宋_GB2312" w:cs="仿宋_GB2312"/>
          <w:bCs/>
          <w:sz w:val="28"/>
          <w:szCs w:val="28"/>
        </w:rPr>
        <w:t>联系电话：18173088836</w:t>
      </w:r>
    </w:p>
    <w:p w14:paraId="370D26A2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667E42C3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岳阳市岳化二小</w:t>
      </w:r>
    </w:p>
    <w:p w14:paraId="1C3B3E7C">
      <w:pPr>
        <w:bidi w:val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部门整体支出绩效自评报告</w:t>
      </w:r>
    </w:p>
    <w:p w14:paraId="10A7A0BB">
      <w:pPr>
        <w:bidi w:val="0"/>
      </w:pPr>
    </w:p>
    <w:p w14:paraId="29EA4610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一、部门（单位）概况</w:t>
      </w:r>
    </w:p>
    <w:p w14:paraId="37F54F61"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default"/>
        </w:rPr>
        <w:t>（一）机构设置情况</w:t>
      </w:r>
    </w:p>
    <w:p w14:paraId="3DE658A6">
      <w:pPr>
        <w:pStyle w:val="3"/>
        <w:bidi w:val="0"/>
        <w:ind w:left="0" w:leftChars="0" w:firstLine="320" w:firstLineChars="1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岳阳市岳化二小内设机构包括：内设办公室、教务处、后勤处、少队部、教研处、总务处。</w:t>
      </w:r>
    </w:p>
    <w:p w14:paraId="3FE724BF"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default"/>
        </w:rPr>
        <w:t>人员编制情况</w:t>
      </w:r>
    </w:p>
    <w:p w14:paraId="085E1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2024年末实有人数62人，其中：在职编制50人，临聘教职工12人，离退休0人。</w:t>
      </w:r>
    </w:p>
    <w:p w14:paraId="2067AC21">
      <w:pPr>
        <w:pStyle w:val="3"/>
        <w:bidi w:val="0"/>
        <w:ind w:left="0" w:leftChars="0" w:firstLine="321" w:firstLineChars="10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default"/>
        </w:rPr>
        <w:t>主要职能职责</w:t>
      </w:r>
    </w:p>
    <w:p w14:paraId="19CCC8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1、实施小学义务教育，促进基础教育发展。小学学历教育，提供相关社会服务。</w:t>
      </w:r>
    </w:p>
    <w:p w14:paraId="057C365C">
      <w:pPr>
        <w:pStyle w:val="3"/>
        <w:bidi w:val="0"/>
        <w:ind w:left="0" w:leftChars="0" w:firstLine="321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default"/>
          <w:lang w:val="en-US" w:eastAsia="zh-CN"/>
        </w:rPr>
        <w:t>绩效目标设定情况</w:t>
      </w:r>
    </w:p>
    <w:p w14:paraId="517DB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1、保障教师工资福利足额发放。</w:t>
      </w:r>
    </w:p>
    <w:p w14:paraId="20B8B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2、保障教师“四险一金”缴纳。</w:t>
      </w:r>
    </w:p>
    <w:p w14:paraId="41F89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3、保障学校正常教学工作开展。</w:t>
      </w:r>
    </w:p>
    <w:p w14:paraId="1E2B5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4、保障退休教师和遗属人员待遇。</w:t>
      </w:r>
    </w:p>
    <w:p w14:paraId="693CF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5、实施小学义务教育。</w:t>
      </w:r>
    </w:p>
    <w:p w14:paraId="2307082B"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二、一般公共预算支出情况</w:t>
      </w:r>
    </w:p>
    <w:p w14:paraId="5E9FB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规等。上述制度规定基本执行到位。</w:t>
      </w:r>
    </w:p>
    <w:p w14:paraId="63E85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2024年决算支出1232.20万元，其中：基本支出1165.18万元，项目支出67.02万元。</w:t>
      </w:r>
    </w:p>
    <w:p w14:paraId="0DD8E776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基本支出情况</w:t>
      </w:r>
    </w:p>
    <w:p w14:paraId="34D1F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基本支出用于为保障各部门、机构正常运转、完成日常工作任务而发生的支出，包括人员经费和公用经费。</w:t>
      </w:r>
    </w:p>
    <w:p w14:paraId="7A5D9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2024年全年基本支出1165.18万元，其中：工资福利支出818.79万元、商品和服务支出122.72万元、对个人和家庭的补助221.75万元、债务利息及费用支出0万元、资本性支出1.92万元、其他支出0万元。</w:t>
      </w:r>
    </w:p>
    <w:p w14:paraId="011292BD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项目支出情况</w:t>
      </w:r>
    </w:p>
    <w:p w14:paraId="57D8094E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项目支出是在基本支出之外为完成其特定的工作任务而发生的支出，主要用于专项工作的运转和设备升级等。</w:t>
      </w:r>
    </w:p>
    <w:p w14:paraId="6358C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2024年项目经费支出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67.02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万元，其中:中小学校舍安全改造5.90万元，学生营养餐61.12万元。</w:t>
      </w:r>
    </w:p>
    <w:p w14:paraId="2557FAFA">
      <w:pPr>
        <w:pStyle w:val="4"/>
        <w:numPr>
          <w:ilvl w:val="0"/>
          <w:numId w:val="1"/>
        </w:numPr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“三公”经费的使用和管理情况</w:t>
      </w:r>
    </w:p>
    <w:p w14:paraId="32EF3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单位2024年严格贯彻中央八项规定精神，厉行节约。“三公”经费的使用严格按照文件范围执行，财务人员严把票据审核的关卡，确保资金的合理使用。2024年初财政批复局机关“三公”经费预算数为0万元，其中：公务接待费0万元、因公出国（境）费用0万元、公务用车购置及运行费0万元。全年决算单位支出“三公”经费为0万元，其中：公务接待费0万元、因公出国（境）费用0万元、公务用车购置及运行费0万元。</w:t>
      </w:r>
    </w:p>
    <w:p w14:paraId="796B017B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三、政府性基金预算支出情况</w:t>
      </w:r>
    </w:p>
    <w:p w14:paraId="164A3747">
      <w:pPr>
        <w:pStyle w:val="17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4E8B6982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四、国有资本经营预算支出情况</w:t>
      </w:r>
    </w:p>
    <w:p w14:paraId="1354283C">
      <w:pPr>
        <w:pStyle w:val="17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3E27A552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五、社会保险基金预算支出情况</w:t>
      </w:r>
    </w:p>
    <w:p w14:paraId="05B45171">
      <w:pPr>
        <w:pStyle w:val="17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7840A956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六、部门整体支出绩效情况</w:t>
      </w:r>
    </w:p>
    <w:p w14:paraId="2A3DF8C7"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（一）综合评价结论</w:t>
      </w:r>
    </w:p>
    <w:p w14:paraId="1D3E6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经自评，2024年度我单位部门整体支出绩效评价结论为“优”，自查评分为100分。</w:t>
      </w:r>
    </w:p>
    <w:p w14:paraId="197E69D3"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（二）评价指标分析</w:t>
      </w:r>
    </w:p>
    <w:p w14:paraId="1E0C5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210" w:firstLineChars="1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1、经济效益指标</w:t>
      </w:r>
    </w:p>
    <w:p w14:paraId="1218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一般公共预算财政拨款资金得到有效利用，努力提高辖区内学生入学率。</w:t>
      </w:r>
    </w:p>
    <w:p w14:paraId="5806C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2、社会效益指标</w:t>
      </w:r>
    </w:p>
    <w:p w14:paraId="01564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一、教务与教研工作​</w:t>
      </w:r>
    </w:p>
    <w:p w14:paraId="224CE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（一）教学管理​</w:t>
      </w:r>
    </w:p>
    <w:p w14:paraId="67B29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质量提升：2024年上半年云溪区义务教育质量监测排名第一。</w:t>
      </w:r>
    </w:p>
    <w:p w14:paraId="35F8C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常规检查：实施“一月一查一反馈”，全年检查教案、作业等12次，整改问题10余项。</w:t>
      </w:r>
    </w:p>
    <w:p w14:paraId="33563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课堂优化：校级领导及教研组长听课540节，形成课堂诊断意见18份，优化教学设计20例。</w:t>
      </w:r>
    </w:p>
    <w:p w14:paraId="7ED14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作业创新：推行分层作业，语文实践类作业、数学综合活动、英语口语训练获家长好评。</w:t>
      </w:r>
    </w:p>
    <w:p w14:paraId="6606E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（二）教师培养​</w:t>
      </w:r>
    </w:p>
    <w:p w14:paraId="02C8C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校本研修：组织集体备课45次，聚焦“大单元教学”“跨学科融合”。</w:t>
      </w:r>
    </w:p>
    <w:p w14:paraId="0E01A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外部交流：选派教师赴长沙、岳阳名校学习；承办区级语文教研活动。</w:t>
      </w:r>
    </w:p>
    <w:p w14:paraId="5FD53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青蓝工程：为青年教师配导师，开展“一课一评”“同课异构”，课堂教学合格率100%。</w:t>
      </w:r>
    </w:p>
    <w:p w14:paraId="21C86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成长平台：举办基本功比赛（微课、硬笔字等），2人获区优秀教师/班主任，1人评区骨干。</w:t>
      </w:r>
    </w:p>
    <w:p w14:paraId="114F1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（三）课题研究​</w:t>
      </w:r>
    </w:p>
    <w:p w14:paraId="39C50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2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市级课题《双减下五年级语文作业设计》结题并获评优秀；</w:t>
      </w:r>
    </w:p>
    <w:p w14:paraId="479A8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省级课题《幼小衔接有效性策略》进入结题阶段；</w:t>
      </w:r>
    </w:p>
    <w:p w14:paraId="704E5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市级课题《传统文化在语文阅读中的渗透》中期推进。</w:t>
      </w:r>
    </w:p>
    <w:p w14:paraId="42811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​成果产出：汇编案例集、论文集；14篇论文市级获奖，28项课例获区市级奖项。</w:t>
      </w:r>
    </w:p>
    <w:p w14:paraId="2F44F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（四）学科活动（五育并举）​​</w:t>
      </w:r>
    </w:p>
    <w:p w14:paraId="7FA09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​分年级活动：低年级拼音闯关、数学口算赛；中年级诗词大会、英语默写；高年级科学实验赛、社会调查。</w:t>
      </w:r>
    </w:p>
    <w:p w14:paraId="44282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​全校活动：读书节、科技节、艺术节、田径运动会（参与率100%）；劳动教育结合“校园种植园”“传统文化进课堂”。</w:t>
      </w:r>
    </w:p>
    <w:p w14:paraId="0CAE1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二、德育工作​</w:t>
      </w:r>
    </w:p>
    <w:p w14:paraId="2F733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​习惯养成​</w:t>
      </w:r>
    </w:p>
    <w:p w14:paraId="06C9C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每周升旗仪式表彰文明学生，强化卫生、路队、着装等常规管理。</w:t>
      </w:r>
    </w:p>
    <w:p w14:paraId="24025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​安全教育​</w:t>
      </w:r>
    </w:p>
    <w:p w14:paraId="5FC86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常态化开展防溺水、防性侵、防欺凌教育；联合社区、交警、家长进行交通劝导。</w:t>
      </w:r>
    </w:p>
    <w:p w14:paraId="00797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​心理健康​</w:t>
      </w:r>
    </w:p>
    <w:p w14:paraId="7607F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专业教师负责筛查、讲座及个案辅导（湖南师大心理学专业背景）。</w:t>
      </w:r>
    </w:p>
    <w:p w14:paraId="4CB15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​特色德育​</w:t>
      </w:r>
    </w:p>
    <w:p w14:paraId="0D458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“诵读国学经典”活动；学雷锋义卖帮扶困难学生（每学期资助十余人）。</w:t>
      </w:r>
    </w:p>
    <w:p w14:paraId="0818D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​成果：区运动会获跳绳、田径、团体总分第一名；全年零安全事故。</w:t>
      </w:r>
    </w:p>
    <w:p w14:paraId="15B14B5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生态效益指标</w:t>
      </w:r>
    </w:p>
    <w:p w14:paraId="6BAF10C9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一、完善教育教学设施，努力改善办学条件</w:t>
      </w:r>
    </w:p>
    <w:p w14:paraId="7D4349BA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（一）新建党建室、少队活动室各一间，新建文化墙一面，累计投入资金16万余元。</w:t>
      </w:r>
    </w:p>
    <w:p w14:paraId="75FF1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（二）投入资金8万元更换教室办公室窗帘，努力营造良好的校园氛围。</w:t>
      </w:r>
    </w:p>
    <w:p w14:paraId="6EB800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（三）投入资金7万，改造学校大门。</w:t>
      </w:r>
    </w:p>
    <w:p w14:paraId="5F828E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（四）投入资金2.5万元建设一个跳远沙坑。</w:t>
      </w:r>
    </w:p>
    <w:p w14:paraId="689F62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（五）投入资金4.4万元，拆除重建校园宣传窗。</w:t>
      </w:r>
    </w:p>
    <w:p w14:paraId="5C4F7E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（六）投入资金2.6万，改造门卫厨房。</w:t>
      </w:r>
    </w:p>
    <w:p w14:paraId="06665F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（七）投入资金7.5万改造校园风雨走廊。</w:t>
      </w:r>
    </w:p>
    <w:p w14:paraId="778EE7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（八）投入资金1.5万元改建工会活动室。</w:t>
      </w:r>
    </w:p>
    <w:p w14:paraId="46182C6E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（九）投资1300多万的学校食堂教师周转房项目顺利建成，投入使用。</w:t>
      </w:r>
    </w:p>
    <w:p w14:paraId="7CEB3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二、抓好常规工作，规范常规管理。</w:t>
      </w:r>
    </w:p>
    <w:p w14:paraId="131C84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（一）学校聘请2位专职保安，一名内门卫强化门卫管理，严格执行来访登记制度，学生临时出入许可制度，保障了校园安全及学生安全。</w:t>
      </w:r>
    </w:p>
    <w:p w14:paraId="06A03C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（二）加强校产的管理，做到定期检查，定期维护，落实校产管理的负责人，保证校产的完好和合理使用。</w:t>
      </w:r>
    </w:p>
    <w:p w14:paraId="032C0C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做好学校财务工作，保证收支平衡，规范学校收费行为。财务工作始终坚持严谨、节约、规范的管理原则，将学校的有限资金进行合理安排。做到长安排，短打算。在经费的使用上，始终坚持服务于教学，有利于教职工积极性的提高，坚持做好民主理财和财务公开。</w:t>
      </w:r>
    </w:p>
    <w:p w14:paraId="1F669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（四）定期对校园绿化情况进行检查，请专业人员对校园花草树木定期进行维护。</w:t>
      </w:r>
    </w:p>
    <w:p w14:paraId="12CA9F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（五）加强管理，开源节流。加强办公用品的采购审批，发放。精细化管理办公耗材的使用登记。加强水电管理，杜绝长流水、长明灯的现象，教育学生节约使用能源。</w:t>
      </w:r>
    </w:p>
    <w:p w14:paraId="5F9CA5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（六）积极做好学校卫生工作，并把卫生工作纳入学校工作计划和精神文明建设目标之中。结合岳阳市文明城市创建工作，我们今年进一步建立健全组织，完善制度，明确责任，建立学校爱国卫生工作领导小组，健康教育领导小组，除四害工作小组，学校党政领导负总责，各个部门为学校分管负责人，做到一级对一级负责，同时进行定期考核和奖惩，即把卫生工作情况作为总结工作评先评优的重点内容。学校党政领导把卫生工作摆上议事日程，亲自抓，进一步增强广大师生的文明卫生意识，全校师生统一思想，形成人人参与，个个动手，大家出力作出贡献的新局面。确保二小校园的安全、文明、整洁。为广大师生提供一个良好的学习生活环境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。</w:t>
      </w:r>
    </w:p>
    <w:p w14:paraId="11DF2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4、社会公众满意度</w:t>
      </w:r>
    </w:p>
    <w:p w14:paraId="614C3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学生、教师、家长满意度95%以上，今后仍需不断努力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 w14:paraId="2230E1A5">
      <w:pPr>
        <w:pStyle w:val="2"/>
        <w:bidi w:val="0"/>
        <w:ind w:left="0" w:leftChars="0" w:firstLine="321" w:firstLineChars="100"/>
        <w:rPr>
          <w:rFonts w:hint="eastAsia"/>
        </w:rPr>
      </w:pPr>
      <w:r>
        <w:rPr>
          <w:rFonts w:hint="eastAsia"/>
        </w:rPr>
        <w:t>七、存在的问题及原因分析</w:t>
      </w:r>
    </w:p>
    <w:p w14:paraId="3787E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2024年我单位无预算支出执行偏离绩效目标的情况。</w:t>
      </w:r>
    </w:p>
    <w:p w14:paraId="403C4A81">
      <w:pPr>
        <w:pStyle w:val="2"/>
        <w:bidi w:val="0"/>
        <w:ind w:left="0" w:leftChars="0" w:firstLine="321" w:firstLineChars="100"/>
        <w:rPr>
          <w:rFonts w:hint="eastAsia"/>
        </w:rPr>
      </w:pPr>
      <w:r>
        <w:rPr>
          <w:rFonts w:hint="eastAsia"/>
        </w:rPr>
        <w:t>八、下一步改进措施</w:t>
      </w:r>
    </w:p>
    <w:p w14:paraId="20809954">
      <w:pPr>
        <w:pStyle w:val="17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41B1B988">
      <w:pPr>
        <w:pStyle w:val="2"/>
        <w:bidi w:val="0"/>
        <w:ind w:left="0" w:leftChars="0" w:firstLine="321" w:firstLineChars="100"/>
        <w:rPr>
          <w:rFonts w:hint="eastAsia"/>
          <w:lang w:val="en-US" w:eastAsia="en-US"/>
        </w:rPr>
      </w:pPr>
      <w:r>
        <w:rPr>
          <w:rFonts w:hint="eastAsia"/>
          <w:lang w:val="en-US" w:eastAsia="en-US"/>
        </w:rPr>
        <w:t>九、其他需要说明的情况</w:t>
      </w:r>
    </w:p>
    <w:p w14:paraId="7B7BB036">
      <w:pPr>
        <w:pStyle w:val="17"/>
        <w:spacing w:line="600" w:lineRule="exact"/>
        <w:ind w:firstLine="643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无。</w:t>
      </w:r>
    </w:p>
    <w:p w14:paraId="03CEFC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4DE24">
    <w:pPr>
      <w:pStyle w:val="7"/>
      <w:framePr w:wrap="around" w:vAnchor="text" w:hAnchor="margin" w:xAlign="outside" w:y="1"/>
      <w:rPr>
        <w:rStyle w:val="12"/>
        <w:sz w:val="24"/>
        <w:szCs w:val="24"/>
      </w:rPr>
    </w:pPr>
    <w:r>
      <w:rPr>
        <w:rStyle w:val="12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12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2"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12"/>
        <w:rFonts w:hint="eastAsia"/>
        <w:sz w:val="24"/>
        <w:szCs w:val="24"/>
      </w:rPr>
      <w:t xml:space="preserve"> —</w:t>
    </w:r>
  </w:p>
  <w:p w14:paraId="4A4B3D4F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ED190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 w14:paraId="1232281E">
    <w:pPr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90BB8"/>
    <w:multiLevelType w:val="singleLevel"/>
    <w:tmpl w:val="06490BB8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387498EA"/>
    <w:multiLevelType w:val="singleLevel"/>
    <w:tmpl w:val="38749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NmNkODA3MzdiMDgwMDAwNGFiN2UxNjliNzRiNjIifQ=="/>
  </w:docVars>
  <w:rsids>
    <w:rsidRoot w:val="00172A27"/>
    <w:rsid w:val="01CC7C92"/>
    <w:rsid w:val="02796AC1"/>
    <w:rsid w:val="02A9251A"/>
    <w:rsid w:val="02B9263D"/>
    <w:rsid w:val="032B47A9"/>
    <w:rsid w:val="03436128"/>
    <w:rsid w:val="03AA1A5C"/>
    <w:rsid w:val="03DC1511"/>
    <w:rsid w:val="05375E6B"/>
    <w:rsid w:val="05CA0255"/>
    <w:rsid w:val="06A66D03"/>
    <w:rsid w:val="072B7061"/>
    <w:rsid w:val="07765EFA"/>
    <w:rsid w:val="085D7896"/>
    <w:rsid w:val="08F77045"/>
    <w:rsid w:val="09C82A7E"/>
    <w:rsid w:val="09F45FD8"/>
    <w:rsid w:val="0AF449E6"/>
    <w:rsid w:val="0BB42719"/>
    <w:rsid w:val="0C566AD6"/>
    <w:rsid w:val="0C791C75"/>
    <w:rsid w:val="10E53545"/>
    <w:rsid w:val="11DD21FB"/>
    <w:rsid w:val="12524FF3"/>
    <w:rsid w:val="15155F83"/>
    <w:rsid w:val="151E0010"/>
    <w:rsid w:val="152C2AC9"/>
    <w:rsid w:val="16706D63"/>
    <w:rsid w:val="1711679D"/>
    <w:rsid w:val="186A0D56"/>
    <w:rsid w:val="19544915"/>
    <w:rsid w:val="19546699"/>
    <w:rsid w:val="19670BC4"/>
    <w:rsid w:val="1B1704A0"/>
    <w:rsid w:val="1C320A84"/>
    <w:rsid w:val="1C3A6639"/>
    <w:rsid w:val="1CAF12D1"/>
    <w:rsid w:val="1D470521"/>
    <w:rsid w:val="1D4D5CD3"/>
    <w:rsid w:val="1DE927A9"/>
    <w:rsid w:val="1F713AC0"/>
    <w:rsid w:val="1FD1383D"/>
    <w:rsid w:val="20756E2D"/>
    <w:rsid w:val="23EF3B49"/>
    <w:rsid w:val="26534D14"/>
    <w:rsid w:val="279D7857"/>
    <w:rsid w:val="27B64475"/>
    <w:rsid w:val="27D863C0"/>
    <w:rsid w:val="28635EA4"/>
    <w:rsid w:val="2A0F327A"/>
    <w:rsid w:val="2AB54840"/>
    <w:rsid w:val="2AE61515"/>
    <w:rsid w:val="2B3A4747"/>
    <w:rsid w:val="2C09639A"/>
    <w:rsid w:val="2D701BA0"/>
    <w:rsid w:val="2D7E77E3"/>
    <w:rsid w:val="2DD67B47"/>
    <w:rsid w:val="31D12A10"/>
    <w:rsid w:val="320B6A4B"/>
    <w:rsid w:val="340D6E22"/>
    <w:rsid w:val="388760E5"/>
    <w:rsid w:val="38D17A67"/>
    <w:rsid w:val="39667F7B"/>
    <w:rsid w:val="3BB053E7"/>
    <w:rsid w:val="3D0C4AEA"/>
    <w:rsid w:val="3D684A0B"/>
    <w:rsid w:val="3DE6565C"/>
    <w:rsid w:val="3DFF5B32"/>
    <w:rsid w:val="41203882"/>
    <w:rsid w:val="41265F61"/>
    <w:rsid w:val="42075CA8"/>
    <w:rsid w:val="42400253"/>
    <w:rsid w:val="447A08AC"/>
    <w:rsid w:val="456D6663"/>
    <w:rsid w:val="45795F75"/>
    <w:rsid w:val="46523F83"/>
    <w:rsid w:val="465F578E"/>
    <w:rsid w:val="48FA4E76"/>
    <w:rsid w:val="498E170A"/>
    <w:rsid w:val="49E62540"/>
    <w:rsid w:val="4E6E777A"/>
    <w:rsid w:val="4E8B1F67"/>
    <w:rsid w:val="4FE20849"/>
    <w:rsid w:val="4FE8754E"/>
    <w:rsid w:val="510D0FC2"/>
    <w:rsid w:val="53310CD0"/>
    <w:rsid w:val="55BA31FE"/>
    <w:rsid w:val="56F40992"/>
    <w:rsid w:val="57A15887"/>
    <w:rsid w:val="596423C7"/>
    <w:rsid w:val="5B5B0FE0"/>
    <w:rsid w:val="5C7E4EBD"/>
    <w:rsid w:val="5C974299"/>
    <w:rsid w:val="5CC772D2"/>
    <w:rsid w:val="5F663B83"/>
    <w:rsid w:val="5F8D53A3"/>
    <w:rsid w:val="60806DF2"/>
    <w:rsid w:val="62326812"/>
    <w:rsid w:val="624A5785"/>
    <w:rsid w:val="624F2C18"/>
    <w:rsid w:val="63660064"/>
    <w:rsid w:val="6370314E"/>
    <w:rsid w:val="63E53BC8"/>
    <w:rsid w:val="64673F7C"/>
    <w:rsid w:val="65D00FC6"/>
    <w:rsid w:val="66586A7F"/>
    <w:rsid w:val="69C12CD2"/>
    <w:rsid w:val="6A573944"/>
    <w:rsid w:val="6B38404F"/>
    <w:rsid w:val="6B8A28E3"/>
    <w:rsid w:val="6C336C88"/>
    <w:rsid w:val="6D5402CF"/>
    <w:rsid w:val="6E2D7665"/>
    <w:rsid w:val="71436346"/>
    <w:rsid w:val="71561767"/>
    <w:rsid w:val="72A82F68"/>
    <w:rsid w:val="72B11A15"/>
    <w:rsid w:val="73C70602"/>
    <w:rsid w:val="7556556B"/>
    <w:rsid w:val="75653EC2"/>
    <w:rsid w:val="76C92F4B"/>
    <w:rsid w:val="76E64558"/>
    <w:rsid w:val="785771FF"/>
    <w:rsid w:val="78A50E3F"/>
    <w:rsid w:val="7A1C72A4"/>
    <w:rsid w:val="7A463F19"/>
    <w:rsid w:val="7AAC2882"/>
    <w:rsid w:val="7C582B10"/>
    <w:rsid w:val="7DAD0FE3"/>
    <w:rsid w:val="7DED5DF2"/>
    <w:rsid w:val="7E9E345A"/>
    <w:rsid w:val="7EDC5EE9"/>
    <w:rsid w:val="7F0B3B28"/>
    <w:rsid w:val="7FB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仿宋_GB2312" w:asciiTheme="minorAscii" w:hAnsiTheme="minorAscii"/>
      <w:sz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autoRedefine/>
    <w:qFormat/>
    <w:uiPriority w:val="0"/>
  </w:style>
  <w:style w:type="paragraph" w:customStyle="1" w:styleId="13">
    <w:name w:val="BodyText1I2"/>
    <w:basedOn w:val="14"/>
    <w:autoRedefine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customStyle="1" w:styleId="14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15">
    <w:name w:val="BodyText1I"/>
    <w:basedOn w:val="1"/>
    <w:autoRedefine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customStyle="1" w:styleId="16">
    <w:name w:val="标题1"/>
    <w:basedOn w:val="3"/>
    <w:autoRedefine/>
    <w:qFormat/>
    <w:uiPriority w:val="0"/>
    <w:rPr>
      <w:rFonts w:eastAsia="黑体"/>
    </w:rPr>
  </w:style>
  <w:style w:type="paragraph" w:customStyle="1" w:styleId="17">
    <w:name w:val="List Paragraph_a0f507d5-6e28-4914-b37f-020b7d2b0f7c"/>
    <w:basedOn w:val="1"/>
    <w:autoRedefine/>
    <w:qFormat/>
    <w:uiPriority w:val="0"/>
    <w:pPr>
      <w:ind w:firstLine="420" w:firstLineChars="200"/>
    </w:pPr>
  </w:style>
  <w:style w:type="paragraph" w:styleId="18">
    <w:name w:val="No Spacing"/>
    <w:autoRedefine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19">
    <w:name w:val="msolistparagraph"/>
    <w:basedOn w:val="1"/>
    <w:autoRedefine/>
    <w:qFormat/>
    <w:uiPriority w:val="0"/>
    <w:pPr>
      <w:spacing w:line="365" w:lineRule="atLeast"/>
      <w:ind w:firstLine="420" w:firstLineChars="200"/>
      <w:textAlignment w:val="bottom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1132</Words>
  <Characters>1365</Characters>
  <Lines>1</Lines>
  <Paragraphs>1</Paragraphs>
  <TotalTime>0</TotalTime>
  <ScaleCrop>false</ScaleCrop>
  <LinksUpToDate>false</LinksUpToDate>
  <CharactersWithSpaces>1644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2024-05-20T07:10:00Z</dcterms:created>
  <dc:creator>HNBS-WORKER3</dc:creator>
  <cp:lastModifiedBy>XIE</cp:lastModifiedBy>
  <dcterms:modified xsi:type="dcterms:W3CDTF">2025-06-16T02:19:46Z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2EACD47548BD4DE7A4D66C6CD41716BF_13</vt:lpwstr>
  </property>
  <property fmtid="{D5CDD505-2E9C-101B-9397-08002B2CF9AE}" pid="4" name="KSOTemplateDocerSaveRecord">
    <vt:lpwstr>eyJoZGlkIjoiN2YzNjBkOTgyNWQ1YTMxYzM3MzMwNWFiODNmOWIzYWMiLCJ1c2VySWQiOiIxMTU1MzM3MzE4In0=</vt:lpwstr>
  </property>
</Properties>
</file>