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373D3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21CF196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19129EAA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填报单位：岳阳市云溪区云溪中学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63500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B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569FF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378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5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100.76%</w:t>
            </w:r>
          </w:p>
        </w:tc>
      </w:tr>
      <w:tr w14:paraId="200FE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F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7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8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35C36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5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3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6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FCD9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7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B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B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C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CC6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4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2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1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52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1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51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EF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E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E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33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E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4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8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1212.69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1212.69</w:t>
            </w:r>
          </w:p>
        </w:tc>
      </w:tr>
      <w:tr w14:paraId="42D5C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1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D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1F9F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D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6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5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7494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1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2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1212.69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1212.69</w:t>
            </w:r>
          </w:p>
        </w:tc>
      </w:tr>
      <w:tr w14:paraId="305F4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9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4D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932.83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3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932.83</w:t>
            </w:r>
          </w:p>
        </w:tc>
      </w:tr>
      <w:tr w14:paraId="27B0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中小学校舍安全工程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A6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5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141.21</w:t>
            </w:r>
          </w:p>
        </w:tc>
      </w:tr>
      <w:tr w14:paraId="76C7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学生营养餐计划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C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138.65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138.65</w:t>
            </w:r>
          </w:p>
        </w:tc>
      </w:tr>
      <w:tr w14:paraId="1A347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3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249.92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6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346.26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B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346.26</w:t>
            </w:r>
          </w:p>
        </w:tc>
      </w:tr>
      <w:tr w14:paraId="1C5BA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E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D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20.61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6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</w:tr>
      <w:tr w14:paraId="4D79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36.41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B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B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27.24</w:t>
            </w:r>
          </w:p>
        </w:tc>
      </w:tr>
      <w:tr w14:paraId="3023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1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10.57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19.54</w:t>
            </w:r>
          </w:p>
        </w:tc>
      </w:tr>
      <w:tr w14:paraId="7D9B1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3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53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CB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FD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A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4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E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E3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5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7B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2270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3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46C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9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5E78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8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089C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5CE9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1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73592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3CC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F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BC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CE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45D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45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21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B9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4E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FF3B4E"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270ED599"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BEF2D8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填表人：陈庆芳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联系电话：15273098755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434AC70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7C51298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6BCB233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57D6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3E19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34AE73E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87503A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520A4BA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309EC7A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60364DD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24BF77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岳阳市云溪区云溪中学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677D224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139010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56722ED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4713A1D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6AD867D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104F686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2653224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8C2A7F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674BE88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日</w:t>
      </w:r>
    </w:p>
    <w:p w14:paraId="4F9F41D3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岳阳市云溪区云溪中学</w:t>
      </w:r>
      <w:r>
        <w:rPr>
          <w:rFonts w:hint="eastAsia" w:eastAsia="仿宋_GB2312"/>
          <w:sz w:val="32"/>
          <w:szCs w:val="32"/>
        </w:rPr>
        <w:t>（制）</w:t>
      </w:r>
    </w:p>
    <w:p w14:paraId="6B35ECC0">
      <w:pPr>
        <w:pStyle w:val="13"/>
        <w:rPr>
          <w:rFonts w:hint="eastAsia" w:eastAsia="仿宋_GB2312"/>
          <w:sz w:val="32"/>
          <w:szCs w:val="32"/>
        </w:rPr>
      </w:pPr>
    </w:p>
    <w:p w14:paraId="57D40875">
      <w:pPr>
        <w:pStyle w:val="13"/>
        <w:rPr>
          <w:rFonts w:hint="eastAsia" w:eastAsia="仿宋_GB2312"/>
          <w:sz w:val="32"/>
          <w:szCs w:val="32"/>
        </w:rPr>
      </w:pPr>
    </w:p>
    <w:p w14:paraId="39A0E502">
      <w:pPr>
        <w:pStyle w:val="13"/>
        <w:rPr>
          <w:rFonts w:hint="eastAsia" w:eastAsia="仿宋_GB2312"/>
          <w:sz w:val="32"/>
          <w:szCs w:val="32"/>
        </w:rPr>
      </w:pPr>
    </w:p>
    <w:p w14:paraId="458AE105">
      <w:pPr>
        <w:pStyle w:val="13"/>
        <w:rPr>
          <w:rFonts w:hint="eastAsia" w:eastAsia="仿宋_GB2312"/>
          <w:sz w:val="32"/>
          <w:szCs w:val="32"/>
        </w:rPr>
      </w:pPr>
    </w:p>
    <w:p w14:paraId="1EDB84CE">
      <w:pPr>
        <w:pStyle w:val="13"/>
        <w:rPr>
          <w:rFonts w:hint="eastAsia" w:eastAsia="仿宋_GB2312"/>
          <w:sz w:val="32"/>
          <w:szCs w:val="32"/>
        </w:rPr>
      </w:pPr>
    </w:p>
    <w:p w14:paraId="6541ADF5">
      <w:pPr>
        <w:pStyle w:val="13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0A62FED8"/>
    <w:p w14:paraId="071B4050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1025"/>
        <w:gridCol w:w="274"/>
        <w:gridCol w:w="913"/>
        <w:gridCol w:w="164"/>
        <w:gridCol w:w="889"/>
        <w:gridCol w:w="1049"/>
        <w:gridCol w:w="889"/>
        <w:gridCol w:w="707"/>
        <w:gridCol w:w="975"/>
        <w:gridCol w:w="874"/>
      </w:tblGrid>
      <w:tr w14:paraId="4AA7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5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岳阳市云溪区云溪中学</w:t>
            </w:r>
          </w:p>
        </w:tc>
      </w:tr>
      <w:tr w14:paraId="22ED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3188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75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5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C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7F90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3C2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F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D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2246.1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5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3921.82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E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3921.82</w:t>
            </w:r>
          </w:p>
        </w:tc>
        <w:tc>
          <w:tcPr>
            <w:tcW w:w="85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4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4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68E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A3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B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8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C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2C437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F4D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0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E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3769.74</w:t>
            </w:r>
          </w:p>
        </w:tc>
        <w:tc>
          <w:tcPr>
            <w:tcW w:w="85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986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4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2934.63</w:t>
            </w:r>
          </w:p>
        </w:tc>
      </w:tr>
      <w:tr w14:paraId="0A236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F8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C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0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02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19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91C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1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0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4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A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986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835.11</w:t>
            </w:r>
          </w:p>
        </w:tc>
      </w:tr>
      <w:tr w14:paraId="4A95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70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0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51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EE1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8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A3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6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0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8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9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5774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4E6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7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1.对辖区内适龄中学生实行教育教学工作；</w:t>
            </w:r>
          </w:p>
          <w:p w14:paraId="065C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2.保障教职员工的工资福利待遇，保证学校各项工作顺利开展；</w:t>
            </w:r>
          </w:p>
          <w:p w14:paraId="7D3F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3.开展学校各项工作,控制三公经费支出；</w:t>
            </w:r>
          </w:p>
          <w:p w14:paraId="451D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4.保障全体师生安全，提高教学质量，稳定教学秩序。</w:t>
            </w:r>
          </w:p>
        </w:tc>
        <w:tc>
          <w:tcPr>
            <w:tcW w:w="18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2DC5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8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21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F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2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4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1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513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22C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0B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62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7B7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9A7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B34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39C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723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80E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9B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1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C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9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7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学生营养餐补助人次</w:t>
            </w: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F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≥2047人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8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2047人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C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95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6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4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E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2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7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≥138人次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138人次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327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B7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7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91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7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7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退休教师及遗属</w:t>
            </w: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C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≥88人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9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88人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5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D88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17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F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A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E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9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7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32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AE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F3DE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777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提高教育教学质量</w:t>
            </w: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9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E1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4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C2D8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E56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94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年内完成</w:t>
            </w: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A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7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5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B31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6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1B4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E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B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8D0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A9B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60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387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5FF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9D5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F2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4F8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B10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8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确保学校教育教学正常开展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5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4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E3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1B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E8D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9AC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对自然生态环境无负面影响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4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无影响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无影响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0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F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53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9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D6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BD9E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A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E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学校持续发展，扩大影响力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9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6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E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F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BB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F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CA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568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C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6ED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6E3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8C2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449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08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0B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05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D78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C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6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在校学生（家长）满意度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C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0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9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738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4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558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3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B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D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9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≤3921.82万元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3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3921.82万元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2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66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6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C9F5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01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6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73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D1A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5C4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98A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755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2D7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9F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616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1CC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5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2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A2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805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92A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EA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184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E4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72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0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C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594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4786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27D3A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0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7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594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C9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08AB3D8E">
      <w:pPr>
        <w:pStyle w:val="11"/>
      </w:pPr>
    </w:p>
    <w:p w14:paraId="6CD87006">
      <w:pPr>
        <w:pStyle w:val="11"/>
      </w:pPr>
    </w:p>
    <w:p w14:paraId="7289396B">
      <w:pPr>
        <w:pStyle w:val="11"/>
      </w:pPr>
    </w:p>
    <w:p w14:paraId="589ADDDE">
      <w:pPr>
        <w:pStyle w:val="11"/>
        <w:ind w:left="0" w:leftChars="0" w:firstLine="0" w:firstLineChars="0"/>
      </w:pPr>
    </w:p>
    <w:p w14:paraId="724E141D">
      <w:pPr>
        <w:pStyle w:val="11"/>
        <w:ind w:left="0" w:leftChars="0" w:firstLine="0" w:firstLineChars="0"/>
      </w:pPr>
    </w:p>
    <w:p w14:paraId="6A60D30F">
      <w:pPr>
        <w:pStyle w:val="11"/>
        <w:ind w:left="0" w:leftChars="0" w:firstLine="0" w:firstLineChars="0"/>
      </w:pPr>
    </w:p>
    <w:p w14:paraId="3B3DACB6">
      <w:pPr>
        <w:pStyle w:val="11"/>
        <w:ind w:left="0" w:leftChars="0" w:firstLine="0" w:firstLineChars="0"/>
      </w:pPr>
    </w:p>
    <w:p w14:paraId="4E1D1B25">
      <w:pPr>
        <w:pStyle w:val="11"/>
        <w:ind w:left="0" w:leftChars="0" w:firstLine="0" w:firstLineChars="0"/>
      </w:pPr>
    </w:p>
    <w:p w14:paraId="48A22B98">
      <w:pPr>
        <w:pStyle w:val="11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106FD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18D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10F4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1A2C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4989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2451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20E7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57F5E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C65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张勇</w:t>
            </w:r>
          </w:p>
        </w:tc>
        <w:tc>
          <w:tcPr>
            <w:tcW w:w="3561" w:type="dxa"/>
            <w:noWrap w:val="0"/>
            <w:vAlign w:val="center"/>
          </w:tcPr>
          <w:p w14:paraId="3517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校长</w:t>
            </w:r>
          </w:p>
        </w:tc>
        <w:tc>
          <w:tcPr>
            <w:tcW w:w="1479" w:type="dxa"/>
            <w:noWrap w:val="0"/>
            <w:vAlign w:val="center"/>
          </w:tcPr>
          <w:p w14:paraId="06F4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13C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71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849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丁光华</w:t>
            </w:r>
          </w:p>
        </w:tc>
        <w:tc>
          <w:tcPr>
            <w:tcW w:w="3561" w:type="dxa"/>
            <w:noWrap w:val="0"/>
            <w:vAlign w:val="center"/>
          </w:tcPr>
          <w:p w14:paraId="35B7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 w14:paraId="61DF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64DB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F6D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DE7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412D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9F3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CB4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A9A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013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3447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45E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78A8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8E7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B17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54CE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3C1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2FB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7FF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A0F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6626C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1D0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6891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6D3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68C7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3236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40D8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69C7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2E87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2646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234EA5C0">
      <w:pPr>
        <w:pStyle w:val="11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填报人（签名）：陈庆芳  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 w:cs="仿宋_GB2312"/>
          <w:bCs/>
          <w:sz w:val="28"/>
          <w:szCs w:val="28"/>
        </w:rPr>
        <w:t>联系电话：15273098755</w:t>
      </w:r>
    </w:p>
    <w:p w14:paraId="63FEA11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D2AFDF8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岳阳市云溪区云溪中学</w:t>
      </w:r>
    </w:p>
    <w:p w14:paraId="0FEF0DEC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76733EF7">
      <w:pPr>
        <w:bidi w:val="0"/>
      </w:pPr>
    </w:p>
    <w:p w14:paraId="1C25211D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11CF03D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（一）机构设置情况</w:t>
      </w:r>
    </w:p>
    <w:p w14:paraId="24EC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岳阳市云溪区云溪中学内设机构包括：内设股室4个，分别为:教务处、政教处、总务处、办公室。</w:t>
      </w:r>
    </w:p>
    <w:p w14:paraId="144C4EC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224D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2024年末实有人数132人，其中事业人员131人。</w:t>
      </w:r>
    </w:p>
    <w:p w14:paraId="6EC7EC6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1DC1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1、负责学生德育教育和全校师生员工安全工作。</w:t>
      </w:r>
    </w:p>
    <w:p w14:paraId="40B1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2、负责教职员工教学工作安排，组织全校教学工作。</w:t>
      </w:r>
    </w:p>
    <w:p w14:paraId="614E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3、负责全校师生后勤工作。</w:t>
      </w:r>
    </w:p>
    <w:p w14:paraId="11D4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4、开展工会活动。</w:t>
      </w:r>
    </w:p>
    <w:p w14:paraId="74C7216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5C7A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1、确保学校教育教学正常开展；</w:t>
      </w:r>
    </w:p>
    <w:p w14:paraId="5FDE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2、确保教职工的工资福利正常发放；</w:t>
      </w:r>
    </w:p>
    <w:p w14:paraId="5412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3、确保退休教师待遇正常发放；</w:t>
      </w:r>
    </w:p>
    <w:p w14:paraId="3838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4、争取2024年度教育教学工作有所提升。</w:t>
      </w:r>
    </w:p>
    <w:p w14:paraId="6EA212C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03E9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253EE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2024年决算支出3921.32万元，其中：基本支出2708.63万元，项目支出1212.69万元。</w:t>
      </w:r>
    </w:p>
    <w:p w14:paraId="53B2DBE7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5FBD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7847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2024年全年基本支出2708.63万元，其中：工资福利支出2120.64万元、商品和服务支出346.26万元、对个人和家庭的补助213.87万元、债务利息及费用支出0万元、资本性支出27.85万元、其他支出0万元。</w:t>
      </w:r>
    </w:p>
    <w:p w14:paraId="3EDFBA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项目支出情况</w:t>
      </w:r>
    </w:p>
    <w:p w14:paraId="7D0B88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3E35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1212.69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万元，其中:学校综合管理932.83万元，中小学校舍安全工程141.21万元，学生营养餐计划138.65万元。</w:t>
      </w:r>
    </w:p>
    <w:p w14:paraId="4C4CEA5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textAlignment w:val="auto"/>
        <w:rPr>
          <w:rFonts w:hint="eastAsia"/>
        </w:rPr>
      </w:pPr>
      <w:r>
        <w:t>（三）</w:t>
      </w:r>
      <w:r>
        <w:rPr>
          <w:rFonts w:hint="eastAsia"/>
        </w:rPr>
        <w:t>“三公”经费的使用和管理情况</w:t>
      </w:r>
    </w:p>
    <w:p w14:paraId="1F1F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4296BA2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6DF9CF9D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2024年全年政府性基金预算支出0.5万元。</w:t>
      </w:r>
    </w:p>
    <w:p w14:paraId="605839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644796A6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本单位无国有资本经营预算支出。</w:t>
      </w:r>
    </w:p>
    <w:p w14:paraId="623BF41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2F778E32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社会保险基金预算支出。</w:t>
      </w:r>
    </w:p>
    <w:p w14:paraId="1CF352B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六、部门整体支出绩效情况</w:t>
      </w:r>
    </w:p>
    <w:p w14:paraId="568DA70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 w14:paraId="7B3D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5FA6C39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textAlignment w:val="auto"/>
        <w:rPr>
          <w:rFonts w:hint="default"/>
        </w:rPr>
      </w:pPr>
      <w:r>
        <w:rPr>
          <w:rFonts w:hint="default"/>
        </w:rPr>
        <w:t>（二）评价指标分析</w:t>
      </w:r>
    </w:p>
    <w:p w14:paraId="539C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 w:firstLine="161" w:firstLineChars="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6C14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强化管理效能，优化育人环境​</w:t>
      </w:r>
    </w:p>
    <w:p w14:paraId="1C3C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完善制度体系：广泛征求各方意见，修订并正式实施《教师教学质量奖惩制度》、《教职工绩效考核方案》等核心管理制度。明确岗位职责，贯彻“多劳多得、优劳优酬”的分配原则，有效激发教师工作积极性与创造性。</w:t>
      </w:r>
    </w:p>
    <w:p w14:paraId="4346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推行年级分治管理：实施年级组管理体制。各年级组在分管副校长及职能处室的指导下，全面负责本年级的日常管理、工作计划制定与实施、家校沟通（如组织学生大会、家长会）等工作，显著提升了学校管理的精细化水平。</w:t>
      </w:r>
    </w:p>
    <w:p w14:paraId="49DC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​坚持依法治校：严格落实行政会议制度（包括周行政例会、教职工大会），坚持集体决策，共同研究解决学校发展中的重点难点问题。成立膳食委员会，强化后勤服务意识，积极倡导降本增效、开源节流理念。</w:t>
      </w:r>
    </w:p>
    <w:p w14:paraId="5875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​规范财物管理：严格执行物资采购、验收、领用审批及收费流程，坚决杜绝乱收费现象。实行校产专人管理制度，完善资产登记手续，确保国有资产安全完整。</w:t>
      </w:r>
    </w:p>
    <w:p w14:paraId="3F95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突出党建引领，深化师德师风建设​</w:t>
      </w:r>
    </w:p>
    <w:p w14:paraId="63A2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强化理论武装：严格执行“三会一课”制度与“亮身份、亮承诺、亮职责、亮业绩”活动要求。系统组织学习习近平新时代中国特色社会主义思想、党的二十大精神、《中国共产党章程》、《习近平著作选读》等重要内容，持续提升党员教师的政治理论素养。</w:t>
      </w:r>
    </w:p>
    <w:p w14:paraId="5C92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丰富党建活动载体：深入开展“重温入党誓词”、“党课开讲啦”、“党的二十大知识竞赛”、“党员教师家访”、“警示教育”、“党员示范课竞赛”、“守护一江碧水”志愿服务、“党建+”等系列主题活动，充分发挥党员教师的先锋模范作用。</w:t>
      </w:r>
    </w:p>
    <w:p w14:paraId="59FF0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抓实师德师风建设：坚持每周组织师德专题学习，全体教职工签订师德师风承诺书。成功举办七期“云中讲坛”，分享感人事迹，弘扬高尚师德。组织全员参与“明德云学堂”线上学习及为期两天的暑期校本培训。校工会积极组织教职工参加区大众运动会、趣味运动会、重阳节座谈会等活动，有效增强了团队凝聚力与教职工幸福感。</w:t>
      </w:r>
    </w:p>
    <w:p w14:paraId="3F8C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构建德育体系，促进学生全面发展​</w:t>
      </w:r>
    </w:p>
    <w:p w14:paraId="32825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强化行为习惯养成：坚持在各种会议中首讲行为习惯教育，要求教师以身作则。重点强化学生入校、放学、进餐等关键环节的行为规范管理。面向七年级新生开展为期一周的入学教育（含体能及学习适应性测试）；对八、九年级学生强化课间纪律及日常行为管理。通过国旗下讲话、主题班会、黑板报评比等多种形式深化养成教育，针对突出问题开展专题研讨。加强家校沟通协作，形成育人合力。</w:t>
      </w:r>
    </w:p>
    <w:p w14:paraId="6C948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丰富德育实践活动：精心组织学雷锋志愿活动、清明祭扫英烈、校园合唱节、田径运动会、远足活动、经典诵读比赛、篮球联赛、主题讲座、垃圾分类宣传、研学实践、拔河比赛、爱眼护眼活动、新团员入团仪式、绿植领养、手抄报展评、劳动教育基地实践等丰富多彩的德育活动，弘扬中华优秀传统文化，厚植学生爱国情怀，培育学生健康身心。</w:t>
      </w:r>
    </w:p>
    <w:p w14:paraId="59D3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筑牢安全防线，守护校园平安​</w:t>
      </w:r>
    </w:p>
    <w:p w14:paraId="108A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巩固物防技防基础：按规定标准配齐专职校园保安，并配备一键报警系统、全覆盖视频监控设施、防冲撞设施等必要的安全防护装备。</w:t>
      </w:r>
    </w:p>
    <w:p w14:paraId="68D5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强化安全宣传教育：常态化开展安全主题教育活动。定期举办法制安全教育（含防范校园欺凌）、消防安全知识讲座与疏散演练、防溺水专题讲座与应急演练等。将思想道德、安全文明及法律法规教育融入日常班会课程。</w:t>
      </w:r>
    </w:p>
    <w:p w14:paraId="49E9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​关注学生心理健康：设立“心灵驿站”心理工作室，配备专业力量，为学生提供日常心理咨询与辅导服务。</w:t>
      </w:r>
    </w:p>
    <w:p w14:paraId="60D4B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​落实精细安全管理：严格执行晚自习楼层值班管理制度、课间楼层空档时段巡查制度及“全员育人”导师制，全面覆盖学生学习生活时空，切实守护学生身心安全。</w:t>
      </w:r>
    </w:p>
    <w:p w14:paraId="5B439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 w:firstLine="161" w:firstLineChars="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。效益目标主要是从社会、经济、生态三个方面进行分析，总分值为40分，评价得分40分，得分率100%。</w:t>
      </w:r>
    </w:p>
    <w:p w14:paraId="6AB5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社会效益方面</w:t>
      </w:r>
    </w:p>
    <w:p w14:paraId="1089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0" w:rightChars="0"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（一）聚焦教学核心，提升教育质量​</w:t>
      </w:r>
    </w:p>
    <w:p w14:paraId="662E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（1）夯实教学常规</w:t>
      </w:r>
    </w:p>
    <w:p w14:paraId="6455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坚持“学生主体、教师主导、训练主线”模式，每月以实证方式（拍照、PPT等）检查评议常规。</w:t>
      </w:r>
    </w:p>
    <w:p w14:paraId="48D4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加强课堂管理（校领导巡视、教务处巡查、年级组记录），保障45分钟效率。</w:t>
      </w:r>
    </w:p>
    <w:p w14:paraId="4E77E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落实行政随堂听课周制度，例会交流促改进。</w:t>
      </w:r>
    </w:p>
    <w:p w14:paraId="0E66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树立学习榜样，强化学习小组建设，深入考试质量分析。</w:t>
      </w:r>
    </w:p>
    <w:p w14:paraId="4D98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推广普通话，规范书写，提升阅读量；优化课后服务，深化劳动教育。</w:t>
      </w:r>
    </w:p>
    <w:p w14:paraId="089C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（2）深化教研创新</w:t>
      </w:r>
    </w:p>
    <w:p w14:paraId="36B36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实施“青蓝工程”，完善师徒协议与考核，助力青年教师成长。</w:t>
      </w:r>
    </w:p>
    <w:p w14:paraId="488F7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组织新教师汇报课、青年教师竞赛课。</w:t>
      </w:r>
    </w:p>
    <w:p w14:paraId="2C83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积极参与“云梦杯”等教学竞赛并获佳绩（省级一等奖1项、二等奖1项）。</w:t>
      </w:r>
    </w:p>
    <w:p w14:paraId="4C474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加强校际教研交流，开阔视野。</w:t>
      </w:r>
    </w:p>
    <w:p w14:paraId="2A3D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鼓励参与省市级课题研究（刘琼、杨晓辉副校长主持省级课题，周灿辉老师主持市级课题），教师多篇论文获省级奖项。</w:t>
      </w:r>
    </w:p>
    <w:p w14:paraId="5308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161" w:firstLineChars="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3、社会公众或服务对象满意度。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社会公众或服务对象满意度主要是从学生、教师、家长满意度进行分析,总体满意度达95%以上，总分值为10分，评价得分10分，得分率100%。</w:t>
      </w:r>
    </w:p>
    <w:p w14:paraId="7BA7CD8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七、存在的问题及原因分析</w:t>
      </w:r>
    </w:p>
    <w:p w14:paraId="0FF8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196521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八、下一步改进措施</w:t>
      </w:r>
    </w:p>
    <w:p w14:paraId="5FCB50B1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B1EAEF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left="0" w:leftChars="0" w:firstLine="0" w:firstLineChars="0"/>
        <w:textAlignment w:val="auto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70BF27B1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C2DE1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82D3D">
    <w:pPr>
      <w:pStyle w:val="5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 w14:paraId="158ED06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B1976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1F4230E1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2A9251A"/>
    <w:rsid w:val="032B47A9"/>
    <w:rsid w:val="03AA1A5C"/>
    <w:rsid w:val="03DC1511"/>
    <w:rsid w:val="05375E6B"/>
    <w:rsid w:val="05F60859"/>
    <w:rsid w:val="09F45FD8"/>
    <w:rsid w:val="0B4D6129"/>
    <w:rsid w:val="0C791C75"/>
    <w:rsid w:val="10905347"/>
    <w:rsid w:val="11DD21FB"/>
    <w:rsid w:val="12524FF3"/>
    <w:rsid w:val="13CC5704"/>
    <w:rsid w:val="152C2AC9"/>
    <w:rsid w:val="16C96C09"/>
    <w:rsid w:val="1711679D"/>
    <w:rsid w:val="186A0D56"/>
    <w:rsid w:val="188624F1"/>
    <w:rsid w:val="18C80D5B"/>
    <w:rsid w:val="19544915"/>
    <w:rsid w:val="1C320A84"/>
    <w:rsid w:val="1D470521"/>
    <w:rsid w:val="1E8B018D"/>
    <w:rsid w:val="1F713AC0"/>
    <w:rsid w:val="20756E2D"/>
    <w:rsid w:val="20895274"/>
    <w:rsid w:val="27D863C0"/>
    <w:rsid w:val="28635EA4"/>
    <w:rsid w:val="2AB54840"/>
    <w:rsid w:val="2AE61515"/>
    <w:rsid w:val="2C0C5210"/>
    <w:rsid w:val="2D701BA0"/>
    <w:rsid w:val="2D7E77E3"/>
    <w:rsid w:val="2DD67B47"/>
    <w:rsid w:val="320B6A4B"/>
    <w:rsid w:val="33E5128A"/>
    <w:rsid w:val="38171BB0"/>
    <w:rsid w:val="38D17A67"/>
    <w:rsid w:val="3BD075C4"/>
    <w:rsid w:val="3C040D30"/>
    <w:rsid w:val="3DE6565C"/>
    <w:rsid w:val="41203882"/>
    <w:rsid w:val="41265F61"/>
    <w:rsid w:val="42075CA8"/>
    <w:rsid w:val="447A08AC"/>
    <w:rsid w:val="456D6663"/>
    <w:rsid w:val="45795F75"/>
    <w:rsid w:val="48FA4E76"/>
    <w:rsid w:val="4E8B1F67"/>
    <w:rsid w:val="510D0FC2"/>
    <w:rsid w:val="55BA31FE"/>
    <w:rsid w:val="596423C7"/>
    <w:rsid w:val="5B5B0FE0"/>
    <w:rsid w:val="5CC772D2"/>
    <w:rsid w:val="5F663B83"/>
    <w:rsid w:val="5F8D53A3"/>
    <w:rsid w:val="62326812"/>
    <w:rsid w:val="624A5785"/>
    <w:rsid w:val="624F2C18"/>
    <w:rsid w:val="63660064"/>
    <w:rsid w:val="63E53BC8"/>
    <w:rsid w:val="64673F7C"/>
    <w:rsid w:val="650E70C3"/>
    <w:rsid w:val="65D00FC6"/>
    <w:rsid w:val="688356D2"/>
    <w:rsid w:val="69C12CD2"/>
    <w:rsid w:val="6B38404F"/>
    <w:rsid w:val="6B8A28E3"/>
    <w:rsid w:val="6E2D7665"/>
    <w:rsid w:val="739B69C9"/>
    <w:rsid w:val="73BF2F58"/>
    <w:rsid w:val="73C70602"/>
    <w:rsid w:val="752124FA"/>
    <w:rsid w:val="76C92F4B"/>
    <w:rsid w:val="785771FF"/>
    <w:rsid w:val="78A50E3F"/>
    <w:rsid w:val="7AAC2882"/>
    <w:rsid w:val="7C582B10"/>
    <w:rsid w:val="7DAD0FE3"/>
    <w:rsid w:val="7DE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autoRedefine/>
    <w:qFormat/>
    <w:uiPriority w:val="0"/>
  </w:style>
  <w:style w:type="paragraph" w:customStyle="1" w:styleId="11">
    <w:name w:val="BodyText1I2"/>
    <w:basedOn w:val="12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3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4">
    <w:name w:val="标题1"/>
    <w:basedOn w:val="3"/>
    <w:autoRedefine/>
    <w:qFormat/>
    <w:uiPriority w:val="0"/>
    <w:rPr>
      <w:rFonts w:eastAsia="黑体"/>
    </w:rPr>
  </w:style>
  <w:style w:type="paragraph" w:customStyle="1" w:styleId="15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1075</Words>
  <Characters>1343</Characters>
  <Lines>1</Lines>
  <Paragraphs>1</Paragraphs>
  <TotalTime>4</TotalTime>
  <ScaleCrop>false</ScaleCrop>
  <LinksUpToDate>false</LinksUpToDate>
  <CharactersWithSpaces>1433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