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3B39A">
      <w:pPr>
        <w:keepNext w:val="0"/>
        <w:keepLines w:val="0"/>
        <w:pageBreakBefore w:val="0"/>
        <w:overflowPunct/>
        <w:topLinePunct w:val="0"/>
        <w:bidi w:val="0"/>
        <w:spacing w:line="560" w:lineRule="exact"/>
        <w:rPr>
          <w:rFonts w:hint="default" w:ascii="Arial" w:eastAsia="宋体"/>
          <w:spacing w:val="0"/>
          <w:sz w:val="21"/>
          <w:lang w:val="en-US" w:eastAsia="zh-CN"/>
        </w:rPr>
      </w:pPr>
      <w:bookmarkStart w:id="0" w:name="OLE_LINK4"/>
      <w:r>
        <w:rPr>
          <w:rFonts w:ascii="黑体" w:hAnsi="黑体" w:eastAsia="黑体" w:cs="黑体"/>
          <w:spacing w:val="0"/>
          <w:sz w:val="31"/>
          <w:szCs w:val="31"/>
        </w:rPr>
        <w:t xml:space="preserve">附件 </w:t>
      </w:r>
      <w:r>
        <w:rPr>
          <w:rFonts w:ascii="Times New Roman" w:hAnsi="Times New Roman" w:eastAsia="Times New Roman" w:cs="Times New Roman"/>
          <w:spacing w:val="0"/>
          <w:sz w:val="31"/>
          <w:szCs w:val="31"/>
        </w:rPr>
        <w:t>5</w:t>
      </w:r>
      <w:bookmarkEnd w:id="0"/>
      <w:r>
        <w:rPr>
          <w:rFonts w:hint="eastAsia" w:ascii="Times New Roman" w:hAnsi="Times New Roman" w:eastAsia="宋体" w:cs="Times New Roman"/>
          <w:spacing w:val="0"/>
          <w:sz w:val="31"/>
          <w:szCs w:val="31"/>
          <w:lang w:val="en-US" w:eastAsia="zh-CN"/>
        </w:rPr>
        <w:t>-1</w:t>
      </w:r>
    </w:p>
    <w:p w14:paraId="6EAC3E9F">
      <w:pPr>
        <w:jc w:val="center"/>
        <w:rPr>
          <w:rFonts w:ascii="微软雅黑" w:hAnsi="微软雅黑" w:eastAsia="微软雅黑" w:cs="微软雅黑"/>
          <w:spacing w:val="0"/>
          <w:sz w:val="44"/>
          <w:szCs w:val="44"/>
        </w:rPr>
      </w:pPr>
    </w:p>
    <w:p w14:paraId="1ED40FB5">
      <w:pPr>
        <w:jc w:val="center"/>
        <w:rPr>
          <w:rFonts w:ascii="微软雅黑" w:hAnsi="微软雅黑" w:eastAsia="微软雅黑" w:cs="微软雅黑"/>
          <w:spacing w:val="0"/>
          <w:sz w:val="44"/>
          <w:szCs w:val="44"/>
        </w:rPr>
      </w:pPr>
      <w:r>
        <w:rPr>
          <w:rFonts w:ascii="微软雅黑" w:hAnsi="微软雅黑" w:eastAsia="微软雅黑" w:cs="微软雅黑"/>
          <w:spacing w:val="0"/>
          <w:sz w:val="44"/>
          <w:szCs w:val="44"/>
        </w:rPr>
        <w:t>202</w:t>
      </w:r>
      <w:r>
        <w:rPr>
          <w:rFonts w:hint="eastAsia" w:ascii="微软雅黑" w:hAnsi="微软雅黑" w:eastAsia="微软雅黑" w:cs="微软雅黑"/>
          <w:spacing w:val="0"/>
          <w:sz w:val="44"/>
          <w:szCs w:val="44"/>
          <w:lang w:val="en-US" w:eastAsia="zh-CN"/>
        </w:rPr>
        <w:t>4</w:t>
      </w:r>
      <w:r>
        <w:rPr>
          <w:rFonts w:ascii="微软雅黑" w:hAnsi="微软雅黑" w:eastAsia="微软雅黑" w:cs="微软雅黑"/>
          <w:spacing w:val="0"/>
          <w:sz w:val="44"/>
          <w:szCs w:val="44"/>
        </w:rPr>
        <w:t>年度</w:t>
      </w:r>
      <w:r>
        <w:rPr>
          <w:rFonts w:hint="eastAsia" w:ascii="微软雅黑" w:hAnsi="微软雅黑" w:eastAsia="微软雅黑" w:cs="微软雅黑"/>
          <w:spacing w:val="0"/>
          <w:sz w:val="44"/>
          <w:szCs w:val="44"/>
          <w:lang w:val="en-US" w:eastAsia="zh-CN"/>
        </w:rPr>
        <w:t>云溪区村村响事务中心</w:t>
      </w:r>
      <w:r>
        <w:rPr>
          <w:rFonts w:ascii="微软雅黑" w:hAnsi="微软雅黑" w:eastAsia="微软雅黑" w:cs="微软雅黑"/>
          <w:spacing w:val="0"/>
          <w:sz w:val="44"/>
          <w:szCs w:val="44"/>
        </w:rPr>
        <w:t>部门整体</w:t>
      </w:r>
    </w:p>
    <w:p w14:paraId="19947CEB">
      <w:pPr>
        <w:jc w:val="center"/>
        <w:rPr>
          <w:rFonts w:ascii="微软雅黑" w:hAnsi="微软雅黑" w:eastAsia="微软雅黑" w:cs="微软雅黑"/>
          <w:spacing w:val="0"/>
          <w:sz w:val="44"/>
          <w:szCs w:val="44"/>
        </w:rPr>
      </w:pPr>
      <w:r>
        <w:rPr>
          <w:rFonts w:ascii="微软雅黑" w:hAnsi="微软雅黑" w:eastAsia="微软雅黑" w:cs="微软雅黑"/>
          <w:spacing w:val="0"/>
          <w:sz w:val="44"/>
          <w:szCs w:val="44"/>
        </w:rPr>
        <w:t>支出绩效自评报告</w:t>
      </w:r>
    </w:p>
    <w:p w14:paraId="2325181B">
      <w:pPr>
        <w:keepNext w:val="0"/>
        <w:keepLines w:val="0"/>
        <w:pageBreakBefore w:val="0"/>
        <w:overflowPunct/>
        <w:topLinePunct w:val="0"/>
        <w:bidi w:val="0"/>
        <w:spacing w:line="560" w:lineRule="exact"/>
        <w:rPr>
          <w:rFonts w:ascii="Arial"/>
          <w:spacing w:val="0"/>
          <w:sz w:val="21"/>
        </w:rPr>
      </w:pPr>
    </w:p>
    <w:p w14:paraId="3373C900">
      <w:pPr>
        <w:keepNext w:val="0"/>
        <w:keepLines w:val="0"/>
        <w:pageBreakBefore w:val="0"/>
        <w:overflowPunct/>
        <w:topLinePunct w:val="0"/>
        <w:bidi w:val="0"/>
        <w:spacing w:line="560" w:lineRule="exact"/>
        <w:rPr>
          <w:rFonts w:ascii="Arial"/>
          <w:spacing w:val="0"/>
          <w:sz w:val="21"/>
        </w:rPr>
      </w:pPr>
    </w:p>
    <w:p w14:paraId="5985ED5E">
      <w:pPr>
        <w:keepNext w:val="0"/>
        <w:keepLines w:val="0"/>
        <w:pageBreakBefore w:val="0"/>
        <w:overflowPunct/>
        <w:topLinePunct w:val="0"/>
        <w:bidi w:val="0"/>
        <w:spacing w:line="560" w:lineRule="exact"/>
        <w:rPr>
          <w:rFonts w:ascii="Arial"/>
          <w:spacing w:val="0"/>
          <w:sz w:val="21"/>
        </w:rPr>
      </w:pPr>
    </w:p>
    <w:p w14:paraId="02E10C8B">
      <w:pPr>
        <w:keepNext w:val="0"/>
        <w:keepLines w:val="0"/>
        <w:pageBreakBefore w:val="0"/>
        <w:overflowPunct/>
        <w:topLinePunct w:val="0"/>
        <w:bidi w:val="0"/>
        <w:spacing w:line="560" w:lineRule="exact"/>
        <w:rPr>
          <w:rFonts w:ascii="Arial"/>
          <w:spacing w:val="0"/>
          <w:sz w:val="21"/>
        </w:rPr>
      </w:pPr>
    </w:p>
    <w:p w14:paraId="3E23E523">
      <w:pPr>
        <w:keepNext w:val="0"/>
        <w:keepLines w:val="0"/>
        <w:pageBreakBefore w:val="0"/>
        <w:overflowPunct/>
        <w:topLinePunct w:val="0"/>
        <w:bidi w:val="0"/>
        <w:spacing w:line="560" w:lineRule="exact"/>
        <w:rPr>
          <w:rFonts w:ascii="Arial"/>
          <w:spacing w:val="0"/>
          <w:sz w:val="21"/>
        </w:rPr>
      </w:pPr>
    </w:p>
    <w:p w14:paraId="33080297">
      <w:pPr>
        <w:keepNext w:val="0"/>
        <w:keepLines w:val="0"/>
        <w:pageBreakBefore w:val="0"/>
        <w:overflowPunct/>
        <w:topLinePunct w:val="0"/>
        <w:bidi w:val="0"/>
        <w:spacing w:line="560" w:lineRule="exact"/>
        <w:rPr>
          <w:rFonts w:ascii="Arial"/>
          <w:spacing w:val="0"/>
          <w:sz w:val="21"/>
        </w:rPr>
      </w:pPr>
    </w:p>
    <w:p w14:paraId="352E605F">
      <w:pPr>
        <w:keepNext w:val="0"/>
        <w:keepLines w:val="0"/>
        <w:pageBreakBefore w:val="0"/>
        <w:overflowPunct/>
        <w:topLinePunct w:val="0"/>
        <w:bidi w:val="0"/>
        <w:spacing w:line="560" w:lineRule="exact"/>
        <w:rPr>
          <w:rFonts w:ascii="Arial"/>
          <w:spacing w:val="0"/>
          <w:sz w:val="21"/>
        </w:rPr>
      </w:pPr>
    </w:p>
    <w:p w14:paraId="21204381">
      <w:pPr>
        <w:keepNext w:val="0"/>
        <w:keepLines w:val="0"/>
        <w:pageBreakBefore w:val="0"/>
        <w:overflowPunct/>
        <w:topLinePunct w:val="0"/>
        <w:bidi w:val="0"/>
        <w:spacing w:line="560" w:lineRule="exact"/>
        <w:rPr>
          <w:rFonts w:ascii="Arial"/>
          <w:spacing w:val="0"/>
          <w:sz w:val="21"/>
        </w:rPr>
      </w:pPr>
    </w:p>
    <w:p w14:paraId="304F7CFA">
      <w:pPr>
        <w:keepNext w:val="0"/>
        <w:keepLines w:val="0"/>
        <w:pageBreakBefore w:val="0"/>
        <w:overflowPunct/>
        <w:topLinePunct w:val="0"/>
        <w:bidi w:val="0"/>
        <w:spacing w:line="560" w:lineRule="exact"/>
        <w:rPr>
          <w:rFonts w:ascii="Arial"/>
          <w:spacing w:val="0"/>
          <w:sz w:val="21"/>
        </w:rPr>
      </w:pPr>
    </w:p>
    <w:p w14:paraId="269E3F96">
      <w:pPr>
        <w:keepNext w:val="0"/>
        <w:keepLines w:val="0"/>
        <w:pageBreakBefore w:val="0"/>
        <w:overflowPunct/>
        <w:topLinePunct w:val="0"/>
        <w:bidi w:val="0"/>
        <w:spacing w:line="560" w:lineRule="exact"/>
        <w:rPr>
          <w:rFonts w:ascii="Arial"/>
          <w:spacing w:val="0"/>
          <w:sz w:val="21"/>
        </w:rPr>
      </w:pPr>
    </w:p>
    <w:p w14:paraId="655C1A21">
      <w:pPr>
        <w:keepNext w:val="0"/>
        <w:keepLines w:val="0"/>
        <w:pageBreakBefore w:val="0"/>
        <w:overflowPunct/>
        <w:topLinePunct w:val="0"/>
        <w:bidi w:val="0"/>
        <w:spacing w:line="560" w:lineRule="exact"/>
        <w:rPr>
          <w:rFonts w:ascii="Arial"/>
          <w:spacing w:val="0"/>
          <w:sz w:val="21"/>
        </w:rPr>
      </w:pPr>
    </w:p>
    <w:p w14:paraId="13878677">
      <w:pPr>
        <w:keepNext w:val="0"/>
        <w:keepLines w:val="0"/>
        <w:pageBreakBefore w:val="0"/>
        <w:overflowPunct/>
        <w:topLinePunct w:val="0"/>
        <w:bidi w:val="0"/>
        <w:spacing w:line="560" w:lineRule="exact"/>
        <w:rPr>
          <w:rFonts w:ascii="Arial"/>
          <w:spacing w:val="0"/>
          <w:sz w:val="21"/>
        </w:rPr>
      </w:pPr>
    </w:p>
    <w:p w14:paraId="7F63AC96">
      <w:pPr>
        <w:jc w:val="center"/>
        <w:rPr>
          <w:spacing w:val="0"/>
        </w:rPr>
      </w:pPr>
      <w:r>
        <w:rPr>
          <w:spacing w:val="0"/>
        </w:rPr>
        <w:t>部门（</w:t>
      </w:r>
      <w:r>
        <w:rPr>
          <w:rFonts w:hint="eastAsia"/>
          <w:spacing w:val="0"/>
          <w:lang w:val="en-US" w:eastAsia="zh-CN"/>
        </w:rPr>
        <w:t>云溪区村村响事务中心</w:t>
      </w:r>
      <w:r>
        <w:rPr>
          <w:rFonts w:hint="eastAsia"/>
          <w:spacing w:val="0"/>
        </w:rPr>
        <w:t xml:space="preserve"> </w:t>
      </w:r>
      <w:r>
        <w:rPr>
          <w:spacing w:val="0"/>
        </w:rPr>
        <w:t xml:space="preserve">）名称： </w:t>
      </w:r>
      <w:r>
        <w:rPr>
          <w:spacing w:val="0"/>
          <w:u w:val="single" w:color="auto"/>
        </w:rPr>
        <w:t xml:space="preserve"> （盖章）         </w:t>
      </w:r>
    </w:p>
    <w:p w14:paraId="226B30BC">
      <w:pPr>
        <w:keepNext w:val="0"/>
        <w:keepLines w:val="0"/>
        <w:pageBreakBefore w:val="0"/>
        <w:overflowPunct/>
        <w:topLinePunct w:val="0"/>
        <w:bidi w:val="0"/>
        <w:spacing w:line="560" w:lineRule="exact"/>
        <w:ind w:left="3179"/>
        <w:rPr>
          <w:rFonts w:ascii="楷体" w:hAnsi="楷体" w:eastAsia="楷体" w:cs="楷体"/>
          <w:spacing w:val="0"/>
          <w:sz w:val="31"/>
          <w:szCs w:val="31"/>
        </w:rPr>
      </w:pPr>
      <w:r>
        <w:rPr>
          <w:rFonts w:hint="eastAsia" w:ascii="楷体" w:hAnsi="楷体" w:eastAsia="楷体" w:cs="楷体"/>
          <w:spacing w:val="0"/>
          <w:sz w:val="31"/>
          <w:szCs w:val="31"/>
          <w:lang w:val="en-US" w:eastAsia="zh-CN"/>
        </w:rPr>
        <w:t>2025</w:t>
      </w:r>
      <w:r>
        <w:rPr>
          <w:rFonts w:ascii="楷体" w:hAnsi="楷体" w:eastAsia="楷体" w:cs="楷体"/>
          <w:spacing w:val="0"/>
          <w:sz w:val="31"/>
          <w:szCs w:val="31"/>
        </w:rPr>
        <w:t>年</w:t>
      </w:r>
      <w:r>
        <w:rPr>
          <w:rFonts w:hint="eastAsia" w:ascii="楷体" w:hAnsi="楷体" w:eastAsia="楷体" w:cs="楷体"/>
          <w:spacing w:val="0"/>
          <w:sz w:val="31"/>
          <w:szCs w:val="31"/>
          <w:lang w:val="en-US" w:eastAsia="zh-CN"/>
        </w:rPr>
        <w:t>6</w:t>
      </w:r>
      <w:r>
        <w:rPr>
          <w:rFonts w:ascii="楷体" w:hAnsi="楷体" w:eastAsia="楷体" w:cs="楷体"/>
          <w:spacing w:val="0"/>
          <w:sz w:val="31"/>
          <w:szCs w:val="31"/>
        </w:rPr>
        <w:t xml:space="preserve">  月</w:t>
      </w:r>
      <w:r>
        <w:rPr>
          <w:rFonts w:hint="eastAsia" w:ascii="楷体" w:hAnsi="楷体" w:eastAsia="楷体" w:cs="楷体"/>
          <w:spacing w:val="0"/>
          <w:sz w:val="31"/>
          <w:szCs w:val="31"/>
          <w:lang w:val="en-US" w:eastAsia="zh-CN"/>
        </w:rPr>
        <w:t>20</w:t>
      </w:r>
      <w:r>
        <w:rPr>
          <w:rFonts w:ascii="楷体" w:hAnsi="楷体" w:eastAsia="楷体" w:cs="楷体"/>
          <w:spacing w:val="0"/>
          <w:sz w:val="31"/>
          <w:szCs w:val="31"/>
        </w:rPr>
        <w:t xml:space="preserve">  日</w:t>
      </w:r>
    </w:p>
    <w:p w14:paraId="2F10CA3B">
      <w:pPr>
        <w:keepNext w:val="0"/>
        <w:keepLines w:val="0"/>
        <w:pageBreakBefore w:val="0"/>
        <w:overflowPunct/>
        <w:topLinePunct w:val="0"/>
        <w:bidi w:val="0"/>
        <w:spacing w:line="560" w:lineRule="exact"/>
        <w:rPr>
          <w:rFonts w:ascii="Arial"/>
          <w:spacing w:val="0"/>
          <w:sz w:val="21"/>
        </w:rPr>
      </w:pPr>
    </w:p>
    <w:p w14:paraId="42864015">
      <w:pPr>
        <w:pStyle w:val="2"/>
        <w:keepNext w:val="0"/>
        <w:keepLines w:val="0"/>
        <w:pageBreakBefore w:val="0"/>
        <w:overflowPunct/>
        <w:topLinePunct w:val="0"/>
        <w:bidi w:val="0"/>
        <w:spacing w:line="560" w:lineRule="exact"/>
        <w:ind w:left="3216"/>
        <w:rPr>
          <w:spacing w:val="0"/>
        </w:rPr>
      </w:pPr>
      <w:r>
        <w:rPr>
          <w:spacing w:val="0"/>
        </w:rPr>
        <w:t>（此页为封面）</w:t>
      </w:r>
    </w:p>
    <w:p w14:paraId="626B16D7">
      <w:pPr>
        <w:keepNext w:val="0"/>
        <w:keepLines w:val="0"/>
        <w:pageBreakBefore w:val="0"/>
        <w:overflowPunct/>
        <w:topLinePunct w:val="0"/>
        <w:bidi w:val="0"/>
        <w:spacing w:line="560" w:lineRule="exact"/>
        <w:rPr>
          <w:spacing w:val="0"/>
        </w:rPr>
        <w:sectPr>
          <w:footerReference r:id="rId5" w:type="default"/>
          <w:pgSz w:w="11900" w:h="16833"/>
          <w:pgMar w:top="1401" w:right="1583" w:bottom="1445" w:left="1618" w:header="0" w:footer="1170" w:gutter="0"/>
          <w:cols w:space="720" w:num="1"/>
        </w:sectPr>
      </w:pPr>
    </w:p>
    <w:p w14:paraId="4DEFE40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微软雅黑" w:hAnsi="微软雅黑" w:eastAsia="微软雅黑" w:cs="微软雅黑"/>
          <w:spacing w:val="0"/>
          <w:sz w:val="44"/>
          <w:szCs w:val="44"/>
        </w:rPr>
      </w:pPr>
    </w:p>
    <w:p w14:paraId="6625A7E9">
      <w:pPr>
        <w:keepNext w:val="0"/>
        <w:keepLines w:val="0"/>
        <w:pageBreakBefore w:val="0"/>
        <w:widowControl/>
        <w:kinsoku w:val="0"/>
        <w:wordWrap/>
        <w:overflowPunct/>
        <w:topLinePunct w:val="0"/>
        <w:autoSpaceDE w:val="0"/>
        <w:autoSpaceDN w:val="0"/>
        <w:bidi w:val="0"/>
        <w:adjustRightInd w:val="0"/>
        <w:snapToGrid w:val="0"/>
        <w:spacing w:line="560" w:lineRule="exact"/>
        <w:ind w:left="880" w:hanging="880" w:hangingChars="200"/>
        <w:textAlignment w:val="baseline"/>
        <w:rPr>
          <w:rFonts w:hint="eastAsia" w:ascii="微软雅黑" w:hAnsi="微软雅黑" w:eastAsia="微软雅黑" w:cs="微软雅黑"/>
          <w:spacing w:val="0"/>
          <w:sz w:val="44"/>
          <w:szCs w:val="44"/>
        </w:rPr>
      </w:pPr>
      <w:r>
        <w:rPr>
          <w:rFonts w:hint="eastAsia" w:ascii="微软雅黑" w:hAnsi="微软雅黑" w:eastAsia="微软雅黑" w:cs="微软雅黑"/>
          <w:spacing w:val="0"/>
          <w:sz w:val="44"/>
          <w:szCs w:val="44"/>
        </w:rPr>
        <w:t>202</w:t>
      </w:r>
      <w:r>
        <w:rPr>
          <w:rFonts w:hint="eastAsia" w:ascii="微软雅黑" w:hAnsi="微软雅黑" w:eastAsia="微软雅黑" w:cs="微软雅黑"/>
          <w:spacing w:val="0"/>
          <w:sz w:val="44"/>
          <w:szCs w:val="44"/>
          <w:lang w:val="en-US" w:eastAsia="zh-CN"/>
        </w:rPr>
        <w:t>4</w:t>
      </w:r>
      <w:r>
        <w:rPr>
          <w:rFonts w:hint="eastAsia" w:ascii="微软雅黑" w:hAnsi="微软雅黑" w:eastAsia="微软雅黑" w:cs="微软雅黑"/>
          <w:spacing w:val="0"/>
          <w:sz w:val="44"/>
          <w:szCs w:val="44"/>
        </w:rPr>
        <w:t>年度</w:t>
      </w:r>
      <w:r>
        <w:rPr>
          <w:rFonts w:hint="eastAsia" w:ascii="微软雅黑" w:hAnsi="微软雅黑" w:eastAsia="微软雅黑" w:cs="微软雅黑"/>
          <w:spacing w:val="0"/>
          <w:sz w:val="44"/>
          <w:szCs w:val="44"/>
          <w:lang w:val="en-US" w:eastAsia="zh-CN"/>
        </w:rPr>
        <w:t>云溪区村村响事务中心</w:t>
      </w:r>
      <w:r>
        <w:rPr>
          <w:rFonts w:hint="eastAsia" w:ascii="微软雅黑" w:hAnsi="微软雅黑" w:eastAsia="微软雅黑" w:cs="微软雅黑"/>
          <w:spacing w:val="0"/>
          <w:sz w:val="44"/>
          <w:szCs w:val="44"/>
        </w:rPr>
        <w:t>部门整体支出绩效自评报告</w:t>
      </w:r>
    </w:p>
    <w:p w14:paraId="1B3751CF">
      <w:pPr>
        <w:keepNext w:val="0"/>
        <w:keepLines w:val="0"/>
        <w:pageBreakBefore w:val="0"/>
        <w:widowControl/>
        <w:kinsoku w:val="0"/>
        <w:wordWrap/>
        <w:overflowPunct/>
        <w:topLinePunct w:val="0"/>
        <w:autoSpaceDE w:val="0"/>
        <w:autoSpaceDN w:val="0"/>
        <w:bidi w:val="0"/>
        <w:adjustRightInd w:val="0"/>
        <w:snapToGrid w:val="0"/>
        <w:spacing w:line="560" w:lineRule="exact"/>
        <w:ind w:left="880" w:hanging="880" w:hangingChars="200"/>
        <w:textAlignment w:val="baseline"/>
        <w:rPr>
          <w:rFonts w:hint="eastAsia" w:ascii="微软雅黑" w:hAnsi="微软雅黑" w:eastAsia="微软雅黑" w:cs="微软雅黑"/>
          <w:spacing w:val="0"/>
          <w:sz w:val="44"/>
          <w:szCs w:val="44"/>
        </w:rPr>
      </w:pPr>
    </w:p>
    <w:p w14:paraId="69FBD85F">
      <w:pPr>
        <w:pStyle w:val="8"/>
        <w:rPr>
          <w:rFonts w:hint="eastAsia" w:ascii="黑体" w:hAnsi="黑体" w:eastAsia="黑体" w:cs="黑体"/>
          <w:bCs/>
          <w:snapToGrid w:val="0"/>
          <w:color w:val="000000"/>
          <w:kern w:val="0"/>
          <w:sz w:val="24"/>
          <w:szCs w:val="24"/>
          <w:lang w:val="en-US" w:eastAsia="zh-CN" w:bidi="ar-SA"/>
        </w:rPr>
      </w:pPr>
    </w:p>
    <w:p w14:paraId="25887E5B">
      <w:pPr>
        <w:ind w:firstLine="240" w:firstLineChars="100"/>
        <w:jc w:val="both"/>
        <w:rPr>
          <w:rFonts w:hint="eastAsia" w:ascii="黑体" w:hAnsi="黑体" w:eastAsia="黑体" w:cs="黑体"/>
          <w:bCs/>
          <w:snapToGrid w:val="0"/>
          <w:color w:val="000000"/>
          <w:kern w:val="0"/>
          <w:sz w:val="24"/>
          <w:szCs w:val="24"/>
          <w:lang w:val="en-US" w:eastAsia="zh-CN" w:bidi="ar-SA"/>
        </w:rPr>
      </w:pPr>
      <w:r>
        <w:rPr>
          <w:rFonts w:hint="eastAsia" w:ascii="黑体" w:hAnsi="黑体" w:eastAsia="黑体" w:cs="黑体"/>
          <w:bCs/>
          <w:snapToGrid w:val="0"/>
          <w:color w:val="000000"/>
          <w:kern w:val="0"/>
          <w:sz w:val="24"/>
          <w:szCs w:val="24"/>
          <w:lang w:val="en-US" w:eastAsia="zh-CN" w:bidi="ar-SA"/>
        </w:rPr>
        <w:t>一、部门（云溪区村村响事务中心）概况</w:t>
      </w:r>
    </w:p>
    <w:p w14:paraId="53D7A8EC">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云溪区村村响事务中心负责全区</w:t>
      </w:r>
      <w:r>
        <w:rPr>
          <w:rFonts w:hint="eastAsia" w:ascii="宋体" w:hAnsi="宋体" w:eastAsia="宋体" w:cs="宋体"/>
          <w:bCs/>
          <w:sz w:val="24"/>
          <w:szCs w:val="24"/>
          <w:lang w:eastAsia="zh-CN"/>
        </w:rPr>
        <w:t>广播、电视网络通信规划、建设、管理、运营维护。</w:t>
      </w:r>
    </w:p>
    <w:p w14:paraId="12A3C87B">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lang w:val="en-US" w:eastAsia="zh-CN"/>
        </w:rPr>
        <w:t>二、一般公共预算支出情况</w:t>
      </w:r>
    </w:p>
    <w:p w14:paraId="0019B5AE">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（一）基本支出</w:t>
      </w:r>
      <w:r>
        <w:rPr>
          <w:rFonts w:hint="eastAsia" w:ascii="宋体" w:hAnsi="宋体" w:eastAsia="宋体" w:cs="宋体"/>
          <w:bCs/>
          <w:sz w:val="24"/>
          <w:szCs w:val="24"/>
          <w:lang w:eastAsia="zh-CN"/>
        </w:rPr>
        <w:t>情况</w:t>
      </w:r>
    </w:p>
    <w:p w14:paraId="54F37EE0">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20</w:t>
      </w:r>
      <w:r>
        <w:rPr>
          <w:rFonts w:hint="eastAsia" w:ascii="宋体" w:hAnsi="宋体" w:eastAsia="宋体" w:cs="宋体"/>
          <w:bCs/>
          <w:sz w:val="24"/>
          <w:szCs w:val="24"/>
          <w:lang w:val="en-US" w:eastAsia="zh-CN"/>
        </w:rPr>
        <w:t>24</w:t>
      </w:r>
      <w:r>
        <w:rPr>
          <w:rFonts w:hint="eastAsia" w:ascii="宋体" w:hAnsi="宋体" w:eastAsia="宋体" w:cs="宋体"/>
          <w:bCs/>
          <w:sz w:val="24"/>
          <w:szCs w:val="24"/>
          <w:lang w:eastAsia="zh-CN"/>
        </w:rPr>
        <w:t>年财政拨款基本支</w:t>
      </w:r>
      <w:r>
        <w:rPr>
          <w:rFonts w:hint="eastAsia" w:ascii="宋体" w:hAnsi="宋体" w:eastAsia="宋体" w:cs="宋体"/>
          <w:bCs/>
          <w:sz w:val="24"/>
          <w:szCs w:val="24"/>
          <w:lang w:val="en-US" w:eastAsia="zh-CN"/>
        </w:rPr>
        <w:t>出113.83万元，其中：人员支出109.99万元，公用支出3.84万元，其中“三公”经费支出0万元。（公务接待费0万元，公务用车运行费0万元</w:t>
      </w:r>
      <w:r>
        <w:rPr>
          <w:rFonts w:hint="eastAsia" w:ascii="宋体" w:hAnsi="宋体" w:eastAsia="宋体" w:cs="宋体"/>
          <w:bCs/>
          <w:sz w:val="24"/>
          <w:szCs w:val="24"/>
        </w:rPr>
        <w:t>）</w:t>
      </w:r>
    </w:p>
    <w:p w14:paraId="58C2E545">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（二）项目</w:t>
      </w:r>
      <w:r>
        <w:rPr>
          <w:rFonts w:hint="eastAsia" w:ascii="宋体" w:hAnsi="宋体" w:eastAsia="宋体" w:cs="宋体"/>
          <w:bCs/>
          <w:sz w:val="24"/>
          <w:szCs w:val="24"/>
        </w:rPr>
        <w:t>支出</w:t>
      </w:r>
      <w:r>
        <w:rPr>
          <w:rFonts w:hint="eastAsia" w:ascii="宋体" w:hAnsi="宋体" w:eastAsia="宋体" w:cs="宋体"/>
          <w:bCs/>
          <w:sz w:val="24"/>
          <w:szCs w:val="24"/>
          <w:lang w:eastAsia="zh-CN"/>
        </w:rPr>
        <w:t>情况</w:t>
      </w:r>
    </w:p>
    <w:p w14:paraId="0F0DB9D6">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2024年项目支出72.49</w:t>
      </w:r>
      <w:r>
        <w:rPr>
          <w:rFonts w:hint="eastAsia" w:ascii="宋体" w:hAnsi="宋体" w:eastAsia="宋体" w:cs="宋体"/>
          <w:bCs/>
          <w:sz w:val="24"/>
          <w:szCs w:val="24"/>
          <w:lang w:eastAsia="zh-CN"/>
        </w:rPr>
        <w:t>万元。截止到2024年8月底，云溪区应急广播体系建设项目已完成县级平台1套、5个镇、</w:t>
      </w:r>
      <w:r>
        <w:rPr>
          <w:rFonts w:hint="eastAsia" w:ascii="宋体" w:hAnsi="宋体" w:eastAsia="宋体" w:cs="宋体"/>
          <w:bCs/>
          <w:sz w:val="24"/>
          <w:szCs w:val="24"/>
          <w:lang w:val="en-US" w:eastAsia="zh-CN"/>
        </w:rPr>
        <w:t>街道</w:t>
      </w:r>
      <w:r>
        <w:rPr>
          <w:rFonts w:hint="eastAsia" w:ascii="宋体" w:hAnsi="宋体" w:eastAsia="宋体" w:cs="宋体"/>
          <w:bCs/>
          <w:sz w:val="24"/>
          <w:szCs w:val="24"/>
          <w:lang w:eastAsia="zh-CN"/>
        </w:rPr>
        <w:t>、5个横向部门和57个行政村（社区）前端平台以及终端270个。同时8月26日</w:t>
      </w:r>
      <w:r>
        <w:rPr>
          <w:rFonts w:hint="eastAsia" w:ascii="宋体" w:hAnsi="宋体" w:eastAsia="宋体" w:cs="宋体"/>
          <w:bCs/>
          <w:sz w:val="24"/>
          <w:szCs w:val="24"/>
          <w:lang w:val="en-US" w:eastAsia="zh-CN"/>
        </w:rPr>
        <w:t>我局按程序组织了区政府、区财政局、区纪委、监理公司、技术专家对应急广播项目进行了</w:t>
      </w:r>
      <w:r>
        <w:rPr>
          <w:rFonts w:hint="eastAsia" w:ascii="宋体" w:hAnsi="宋体" w:eastAsia="宋体" w:cs="宋体"/>
          <w:bCs/>
          <w:sz w:val="24"/>
          <w:szCs w:val="24"/>
          <w:lang w:eastAsia="zh-CN"/>
        </w:rPr>
        <w:t>初验，</w:t>
      </w:r>
      <w:r>
        <w:rPr>
          <w:rFonts w:hint="eastAsia" w:ascii="宋体" w:hAnsi="宋体" w:eastAsia="宋体" w:cs="宋体"/>
          <w:bCs/>
          <w:sz w:val="24"/>
          <w:szCs w:val="24"/>
          <w:lang w:val="en-US" w:eastAsia="zh-CN"/>
        </w:rPr>
        <w:t>经验收组综合意见认定初验合格。</w:t>
      </w:r>
      <w:r>
        <w:rPr>
          <w:rFonts w:hint="eastAsia" w:ascii="宋体" w:hAnsi="宋体" w:eastAsia="宋体" w:cs="宋体"/>
          <w:bCs/>
          <w:sz w:val="24"/>
          <w:szCs w:val="24"/>
          <w:lang w:eastAsia="zh-CN"/>
        </w:rPr>
        <w:t>9月14日，经省广播</w:t>
      </w:r>
      <w:r>
        <w:rPr>
          <w:rFonts w:hint="eastAsia" w:ascii="宋体" w:hAnsi="宋体" w:eastAsia="宋体" w:cs="宋体"/>
          <w:bCs/>
          <w:sz w:val="24"/>
          <w:szCs w:val="24"/>
          <w:lang w:val="en-US" w:eastAsia="zh-CN"/>
        </w:rPr>
        <w:t>电</w:t>
      </w:r>
      <w:r>
        <w:rPr>
          <w:rFonts w:hint="eastAsia" w:ascii="宋体" w:hAnsi="宋体" w:eastAsia="宋体" w:cs="宋体"/>
          <w:bCs/>
          <w:sz w:val="24"/>
          <w:szCs w:val="24"/>
          <w:lang w:eastAsia="zh-CN"/>
        </w:rPr>
        <w:t>视局牵头的省市应急广播体系建设项目验收专家评委综合意见认定云溪区应急广播体系建设项目</w:t>
      </w:r>
      <w:r>
        <w:rPr>
          <w:rFonts w:hint="eastAsia" w:ascii="宋体" w:hAnsi="宋体" w:eastAsia="宋体" w:cs="宋体"/>
          <w:bCs/>
          <w:sz w:val="24"/>
          <w:szCs w:val="24"/>
          <w:lang w:val="en-US" w:eastAsia="zh-CN"/>
        </w:rPr>
        <w:t>以94分的高分，</w:t>
      </w:r>
      <w:r>
        <w:rPr>
          <w:rFonts w:hint="eastAsia" w:ascii="宋体" w:hAnsi="宋体" w:eastAsia="宋体" w:cs="宋体"/>
          <w:bCs/>
          <w:sz w:val="24"/>
          <w:szCs w:val="24"/>
          <w:lang w:eastAsia="zh-CN"/>
        </w:rPr>
        <w:t>顺利通过省级验收。</w:t>
      </w:r>
      <w:r>
        <w:rPr>
          <w:rFonts w:hint="eastAsia" w:ascii="宋体" w:hAnsi="宋体" w:eastAsia="宋体" w:cs="宋体"/>
          <w:bCs/>
          <w:sz w:val="24"/>
          <w:szCs w:val="24"/>
          <w:lang w:val="en-US" w:eastAsia="zh-CN"/>
        </w:rPr>
        <w:t xml:space="preserve">  </w:t>
      </w:r>
    </w:p>
    <w:p w14:paraId="5130B65A">
      <w:pPr>
        <w:keepNext w:val="0"/>
        <w:keepLines w:val="0"/>
        <w:pageBreakBefore w:val="0"/>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政府性基金预算支出情况</w:t>
      </w:r>
    </w:p>
    <w:p w14:paraId="7E9042A1">
      <w:pPr>
        <w:ind w:firstLine="420" w:firstLineChars="200"/>
        <w:rPr>
          <w:rFonts w:hint="eastAsia"/>
          <w:lang w:val="en-US" w:eastAsia="zh-CN"/>
        </w:rPr>
      </w:pPr>
      <w:r>
        <w:rPr>
          <w:rFonts w:hint="eastAsia"/>
          <w:lang w:val="en-US" w:eastAsia="zh-CN"/>
        </w:rPr>
        <w:t>无。</w:t>
      </w:r>
    </w:p>
    <w:p w14:paraId="195B8D74">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国有资本经营预算支出情况</w:t>
      </w:r>
    </w:p>
    <w:p w14:paraId="5893C16E">
      <w:pPr>
        <w:pStyle w:val="8"/>
        <w:numPr>
          <w:ilvl w:val="0"/>
          <w:numId w:val="0"/>
        </w:numPr>
        <w:ind w:leftChars="200"/>
        <w:rPr>
          <w:rFonts w:hint="eastAsia"/>
          <w:lang w:val="en-US" w:eastAsia="zh-CN"/>
        </w:rPr>
      </w:pPr>
    </w:p>
    <w:p w14:paraId="40030D92">
      <w:pPr>
        <w:ind w:firstLine="420" w:firstLineChars="200"/>
        <w:rPr>
          <w:rFonts w:hint="eastAsia" w:ascii="黑体" w:hAnsi="黑体" w:eastAsia="黑体" w:cs="黑体"/>
          <w:bCs/>
          <w:sz w:val="24"/>
          <w:szCs w:val="24"/>
          <w:lang w:val="en-US" w:eastAsia="zh-CN"/>
        </w:rPr>
      </w:pPr>
      <w:r>
        <w:rPr>
          <w:rFonts w:hint="eastAsia"/>
          <w:lang w:val="en-US" w:eastAsia="zh-CN"/>
        </w:rPr>
        <w:t>无。</w:t>
      </w:r>
    </w:p>
    <w:p w14:paraId="32CD88B3">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四、社会保险基金预算支出情况</w:t>
      </w:r>
    </w:p>
    <w:p w14:paraId="7B32DB59">
      <w:pPr>
        <w:pStyle w:val="8"/>
        <w:rPr>
          <w:rFonts w:hint="eastAsia"/>
          <w:lang w:val="en-US" w:eastAsia="zh-CN"/>
        </w:rPr>
      </w:pPr>
    </w:p>
    <w:p w14:paraId="3248F1AF">
      <w:pPr>
        <w:ind w:firstLine="420" w:firstLineChars="200"/>
        <w:rPr>
          <w:rFonts w:hint="eastAsia" w:ascii="黑体" w:hAnsi="黑体" w:eastAsia="黑体" w:cs="黑体"/>
          <w:bCs/>
          <w:sz w:val="24"/>
          <w:szCs w:val="24"/>
          <w:lang w:val="en-US" w:eastAsia="zh-CN"/>
        </w:rPr>
      </w:pPr>
      <w:r>
        <w:rPr>
          <w:rFonts w:hint="eastAsia"/>
          <w:lang w:val="en-US" w:eastAsia="zh-CN"/>
        </w:rPr>
        <w:t>无。</w:t>
      </w:r>
    </w:p>
    <w:p w14:paraId="1937ABC3">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五、部门整体支出绩效情况</w:t>
      </w:r>
    </w:p>
    <w:p w14:paraId="0AC1F432">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加快应急广播项目建设</w:t>
      </w:r>
    </w:p>
    <w:p w14:paraId="32C12ED4">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截止到2024年8月底，云溪区应急广播体系建设项目已完成县级平台1套、5个镇、街道、5个横向部门和57个行政村（社区）前端平台以及终端270个。同时8月26日我局按程序组织了区政府、区财政局、区纪委、监理公司、技术专家对应急广播项目进行了初验，经验收组综合意见认定初验合格。9月14日，经省广播电视局牵头的省市应急广播体系建设项目验收专家评委综合意见认定云溪区应急广播体系建设项目以94分的高分，顺利通过省级验收。                               </w:t>
      </w:r>
    </w:p>
    <w:p w14:paraId="0E0BE2DE">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default" w:ascii="宋体" w:hAnsi="宋体" w:eastAsia="宋体" w:cs="宋体"/>
          <w:bCs/>
          <w:sz w:val="24"/>
          <w:szCs w:val="24"/>
          <w:lang w:val="en-US" w:eastAsia="zh-CN"/>
        </w:rPr>
      </w:pPr>
      <w:r>
        <w:rPr>
          <w:rFonts w:hint="eastAsia" w:ascii="宋体" w:hAnsi="宋体" w:eastAsia="宋体" w:cs="宋体"/>
          <w:b/>
          <w:bCs w:val="0"/>
          <w:sz w:val="24"/>
          <w:szCs w:val="24"/>
          <w:lang w:val="en-US" w:eastAsia="zh-CN"/>
        </w:rPr>
        <w:t>加强日常维护</w:t>
      </w:r>
    </w:p>
    <w:p w14:paraId="51A78BD9">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2024年村村响事务中心由于供电部门电力杆路改造，导致我们的广播线路共迁改光缆3200米。迁改高音喇叭26只，更换电缆500多米，更换电源线600多米，疏理优化广播线路约2000多米。全年共维修130多次，修复喇叭112个，音柱10个。一年来“村村响”广播在政策宣传、科技推广、移风易俗、禁鞭禁炮、防溺水、助力乡村振兴、森林防火、防汛抗旱、等方面发挥了重要的作用。</w:t>
      </w:r>
    </w:p>
    <w:p w14:paraId="572B4454">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安全播出保障有力</w:t>
      </w:r>
      <w:bookmarkStart w:id="1" w:name="_GoBack"/>
      <w:bookmarkEnd w:id="1"/>
    </w:p>
    <w:p w14:paraId="1DB59CFC">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村村响事务中心切实落实好安全播出有关规定和要求，增强安全意识和工作责任，经常性对安全播出制度执行情况进行抽查，从而提高相关工作安全防范意识;立足制度管人管事，进一步完善安全播出制度。一年来共到应急广播机房巡查200多次，并做好了巡查记录表、机房、播出机房应急预案。由于工作扎实细致，村村响事务中心安全播出及外勤作业确保了全年零事故。</w:t>
      </w:r>
    </w:p>
    <w:p w14:paraId="1A1863FD">
      <w:pPr>
        <w:pStyle w:val="12"/>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sz w:val="24"/>
          <w:szCs w:val="24"/>
        </w:rPr>
      </w:pPr>
      <w:r>
        <w:rPr>
          <w:rFonts w:hint="eastAsia" w:ascii="黑体" w:hAnsi="黑体" w:eastAsia="黑体" w:cs="黑体"/>
          <w:sz w:val="24"/>
          <w:szCs w:val="24"/>
        </w:rPr>
        <w:t>七、存在的问题及原因分析</w:t>
      </w:r>
    </w:p>
    <w:p w14:paraId="7AAA748A">
      <w:pPr>
        <w:pStyle w:val="13"/>
        <w:numPr>
          <w:ilvl w:val="0"/>
          <w:numId w:val="0"/>
        </w:numPr>
        <w:autoSpaceDN w:val="0"/>
        <w:spacing w:line="580" w:lineRule="exact"/>
        <w:ind w:firstLine="480" w:firstLineChars="200"/>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SA"/>
        </w:rPr>
        <w:t>2024年我单位无预算支出执行偏离绩效目标的情况。</w:t>
      </w:r>
    </w:p>
    <w:p w14:paraId="59964B19">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lang w:eastAsia="zh-CN"/>
        </w:rPr>
        <w:t>七、</w:t>
      </w:r>
      <w:r>
        <w:rPr>
          <w:rFonts w:hint="eastAsia" w:ascii="黑体" w:hAnsi="黑体" w:eastAsia="黑体" w:cs="黑体"/>
          <w:sz w:val="24"/>
          <w:szCs w:val="24"/>
        </w:rPr>
        <w:t>下一步改进措施</w:t>
      </w:r>
    </w:p>
    <w:p w14:paraId="25FE884E">
      <w:pPr>
        <w:ind w:firstLine="420" w:firstLineChars="200"/>
        <w:rPr>
          <w:rFonts w:hint="eastAsia"/>
        </w:rPr>
      </w:pPr>
      <w:r>
        <w:rPr>
          <w:rFonts w:hint="eastAsia"/>
          <w:lang w:val="en-US" w:eastAsia="zh-CN"/>
        </w:rPr>
        <w:t>无。</w:t>
      </w:r>
    </w:p>
    <w:p w14:paraId="631EB59A">
      <w:pPr>
        <w:keepNext w:val="0"/>
        <w:keepLines w:val="0"/>
        <w:pageBreakBefore w:val="0"/>
        <w:numPr>
          <w:ilvl w:val="0"/>
          <w:numId w:val="2"/>
        </w:numPr>
        <w:overflowPunct/>
        <w:topLinePunct w:val="0"/>
        <w:bidi w:val="0"/>
        <w:spacing w:line="560" w:lineRule="exact"/>
        <w:ind w:left="0" w:leftChars="0" w:firstLine="480" w:firstLineChars="200"/>
        <w:rPr>
          <w:rFonts w:hint="eastAsia"/>
        </w:rPr>
      </w:pPr>
      <w:r>
        <w:rPr>
          <w:rFonts w:hint="eastAsia" w:ascii="黑体" w:hAnsi="黑体" w:eastAsia="黑体" w:cs="黑体"/>
          <w:sz w:val="24"/>
          <w:szCs w:val="24"/>
        </w:rPr>
        <w:t>其他需要说明的情况</w:t>
      </w:r>
    </w:p>
    <w:p w14:paraId="5868B20D">
      <w:pPr>
        <w:ind w:firstLine="420" w:firstLineChars="200"/>
        <w:rPr>
          <w:rFonts w:hint="eastAsia" w:ascii="黑体" w:hAnsi="黑体" w:eastAsia="黑体" w:cs="黑体"/>
          <w:bCs/>
          <w:sz w:val="24"/>
          <w:szCs w:val="24"/>
          <w:lang w:val="en-US" w:eastAsia="zh-CN"/>
        </w:rPr>
      </w:pPr>
      <w:r>
        <w:rPr>
          <w:rFonts w:hint="eastAsia"/>
          <w:lang w:val="en-US" w:eastAsia="zh-CN"/>
        </w:rPr>
        <w:t>无。</w:t>
      </w:r>
    </w:p>
    <w:p w14:paraId="3EE1D098">
      <w:pPr>
        <w:keepNext w:val="0"/>
        <w:keepLines w:val="0"/>
        <w:pageBreakBefore w:val="0"/>
        <w:overflowPunct/>
        <w:topLinePunct w:val="0"/>
        <w:bidi w:val="0"/>
        <w:spacing w:line="560" w:lineRule="exact"/>
        <w:rPr>
          <w:rFonts w:ascii="Arial"/>
          <w:spacing w:val="0"/>
          <w:sz w:val="21"/>
        </w:rPr>
      </w:pPr>
    </w:p>
    <w:p w14:paraId="75E4301F">
      <w:pPr>
        <w:keepNext w:val="0"/>
        <w:keepLines w:val="0"/>
        <w:pageBreakBefore w:val="0"/>
        <w:widowControl/>
        <w:wordWrap/>
        <w:overflowPunct/>
        <w:topLinePunct w:val="0"/>
        <w:autoSpaceDN w:val="0"/>
        <w:bidi w:val="0"/>
        <w:adjustRightInd w:val="0"/>
        <w:snapToGrid w:val="0"/>
        <w:spacing w:line="560" w:lineRule="exact"/>
        <w:textAlignment w:val="baseline"/>
        <w:rPr>
          <w:rFonts w:hint="eastAsia" w:ascii="仿宋" w:hAnsi="仿宋" w:eastAsia="仿宋" w:cs="仿宋"/>
          <w:spacing w:val="0"/>
          <w:sz w:val="32"/>
          <w:szCs w:val="32"/>
        </w:rPr>
      </w:pPr>
    </w:p>
    <w:sectPr>
      <w:footerReference r:id="rId6" w:type="default"/>
      <w:pgSz w:w="11900" w:h="16833"/>
      <w:pgMar w:top="1430" w:right="1657" w:bottom="1445" w:left="1587" w:header="0" w:footer="11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6555745-5A58-442D-B351-B8E11F1A17A8}"/>
  </w:font>
  <w:font w:name="黑体">
    <w:panose1 w:val="02010609060101010101"/>
    <w:charset w:val="86"/>
    <w:family w:val="auto"/>
    <w:pitch w:val="default"/>
    <w:sig w:usb0="800002BF" w:usb1="38CF7CFA" w:usb2="00000016" w:usb3="00000000" w:csb0="00040001" w:csb1="00000000"/>
    <w:embedRegular r:id="rId2" w:fontKey="{6AFE5EAA-58DC-477B-9FC9-EE1424DECAC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3" w:fontKey="{11BDC1CE-300D-4899-BADF-5F8E72DEEAB9}"/>
  </w:font>
  <w:font w:name="微软雅黑">
    <w:panose1 w:val="020B0503020204020204"/>
    <w:charset w:val="86"/>
    <w:family w:val="auto"/>
    <w:pitch w:val="default"/>
    <w:sig w:usb0="80000287" w:usb1="280F3C52" w:usb2="00000016" w:usb3="00000000" w:csb0="0004001F" w:csb1="00000000"/>
    <w:embedRegular r:id="rId4" w:fontKey="{EAA29503-5564-4238-9243-3A268A3FCE8C}"/>
  </w:font>
  <w:font w:name="楷体">
    <w:panose1 w:val="02010609060101010101"/>
    <w:charset w:val="86"/>
    <w:family w:val="auto"/>
    <w:pitch w:val="default"/>
    <w:sig w:usb0="800002BF" w:usb1="38CF7CFA" w:usb2="00000016" w:usb3="00000000" w:csb0="00040001" w:csb1="00000000"/>
    <w:embedRegular r:id="rId5" w:fontKey="{02AFB020-5465-4A6F-9926-74DF6C0D32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92E04">
    <w:pPr>
      <w:pStyle w:val="2"/>
      <w:spacing w:before="1" w:line="174" w:lineRule="auto"/>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4237F">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B4237F">
                    <w:pPr>
                      <w:pStyle w:val="3"/>
                    </w:pPr>
                    <w:r>
                      <w:fldChar w:fldCharType="begin"/>
                    </w:r>
                    <w:r>
                      <w:instrText xml:space="preserve"> PAGE  \* MERGEFORMAT </w:instrText>
                    </w:r>
                    <w:r>
                      <w:fldChar w:fldCharType="separate"/>
                    </w:r>
                    <w:r>
                      <w:t>12</w:t>
                    </w:r>
                    <w:r>
                      <w:fldChar w:fldCharType="end"/>
                    </w:r>
                  </w:p>
                </w:txbxContent>
              </v:textbox>
            </v:shape>
          </w:pict>
        </mc:Fallback>
      </mc:AlternateContent>
    </w:r>
    <w:r>
      <w:rPr>
        <w:spacing w:val="-13"/>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5746F">
    <w:pPr>
      <w:pStyle w:val="2"/>
      <w:spacing w:before="1" w:line="174" w:lineRule="auto"/>
      <w:ind w:left="8"/>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BF226">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14BF226">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F606E"/>
    <w:multiLevelType w:val="singleLevel"/>
    <w:tmpl w:val="A7FF606E"/>
    <w:lvl w:ilvl="0" w:tentative="0">
      <w:start w:val="3"/>
      <w:numFmt w:val="chineseCounting"/>
      <w:suff w:val="nothing"/>
      <w:lvlText w:val="%1、"/>
      <w:lvlJc w:val="left"/>
      <w:rPr>
        <w:rFonts w:hint="eastAsia"/>
      </w:rPr>
    </w:lvl>
  </w:abstractNum>
  <w:abstractNum w:abstractNumId="1">
    <w:nsid w:val="EC9E8835"/>
    <w:multiLevelType w:val="singleLevel"/>
    <w:tmpl w:val="EC9E8835"/>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VlMmU3NmE5YmMzZDVhY2ViNzE3Y2E1MjIxYjI5OTAifQ=="/>
  </w:docVars>
  <w:rsids>
    <w:rsidRoot w:val="00000000"/>
    <w:rsid w:val="00A858BD"/>
    <w:rsid w:val="011D2710"/>
    <w:rsid w:val="02062C6E"/>
    <w:rsid w:val="02641C78"/>
    <w:rsid w:val="042803FD"/>
    <w:rsid w:val="04C10F55"/>
    <w:rsid w:val="05D80FC6"/>
    <w:rsid w:val="06F9565C"/>
    <w:rsid w:val="07430F64"/>
    <w:rsid w:val="07B6268B"/>
    <w:rsid w:val="07C136C9"/>
    <w:rsid w:val="08271494"/>
    <w:rsid w:val="089805D5"/>
    <w:rsid w:val="08B02EEB"/>
    <w:rsid w:val="09382467"/>
    <w:rsid w:val="09C22A26"/>
    <w:rsid w:val="0A173A74"/>
    <w:rsid w:val="0A460AAE"/>
    <w:rsid w:val="0B957346"/>
    <w:rsid w:val="0BEA7692"/>
    <w:rsid w:val="0C1E4676"/>
    <w:rsid w:val="0C6C30D3"/>
    <w:rsid w:val="0DD43A3C"/>
    <w:rsid w:val="0DE27833"/>
    <w:rsid w:val="0E4F198B"/>
    <w:rsid w:val="101F5F6E"/>
    <w:rsid w:val="113901B9"/>
    <w:rsid w:val="13B41486"/>
    <w:rsid w:val="148B307B"/>
    <w:rsid w:val="15DA1475"/>
    <w:rsid w:val="1655109A"/>
    <w:rsid w:val="17914E66"/>
    <w:rsid w:val="1A565A3B"/>
    <w:rsid w:val="1A5760D9"/>
    <w:rsid w:val="1A602B0E"/>
    <w:rsid w:val="1A673374"/>
    <w:rsid w:val="1A6B4094"/>
    <w:rsid w:val="1AF20311"/>
    <w:rsid w:val="1C8D2DDE"/>
    <w:rsid w:val="1CA1755B"/>
    <w:rsid w:val="1CD80B8E"/>
    <w:rsid w:val="1DAB08FD"/>
    <w:rsid w:val="1DD41F50"/>
    <w:rsid w:val="1EB268D8"/>
    <w:rsid w:val="1F861224"/>
    <w:rsid w:val="201C7C2D"/>
    <w:rsid w:val="20432151"/>
    <w:rsid w:val="219426BC"/>
    <w:rsid w:val="22361730"/>
    <w:rsid w:val="241B705C"/>
    <w:rsid w:val="241F1A4B"/>
    <w:rsid w:val="25F501E4"/>
    <w:rsid w:val="263B7010"/>
    <w:rsid w:val="277F0D47"/>
    <w:rsid w:val="278E3554"/>
    <w:rsid w:val="28060A37"/>
    <w:rsid w:val="28645DC7"/>
    <w:rsid w:val="29183639"/>
    <w:rsid w:val="29920858"/>
    <w:rsid w:val="2A0A0391"/>
    <w:rsid w:val="2A1B7116"/>
    <w:rsid w:val="2AD27987"/>
    <w:rsid w:val="2B597F39"/>
    <w:rsid w:val="2C057779"/>
    <w:rsid w:val="2C31056E"/>
    <w:rsid w:val="2C555D5E"/>
    <w:rsid w:val="2C9C2318"/>
    <w:rsid w:val="2CC338BC"/>
    <w:rsid w:val="2CC753BE"/>
    <w:rsid w:val="2CE42D59"/>
    <w:rsid w:val="2F484AA7"/>
    <w:rsid w:val="2F7470EF"/>
    <w:rsid w:val="301234CF"/>
    <w:rsid w:val="31530D40"/>
    <w:rsid w:val="32800B15"/>
    <w:rsid w:val="32E12C1B"/>
    <w:rsid w:val="32E74229"/>
    <w:rsid w:val="34DE68FD"/>
    <w:rsid w:val="35A8233C"/>
    <w:rsid w:val="36A62E0D"/>
    <w:rsid w:val="36D97FDD"/>
    <w:rsid w:val="3727713D"/>
    <w:rsid w:val="381F1BC2"/>
    <w:rsid w:val="38244D74"/>
    <w:rsid w:val="3A130B78"/>
    <w:rsid w:val="3A364AA2"/>
    <w:rsid w:val="3A992100"/>
    <w:rsid w:val="3B7E2D65"/>
    <w:rsid w:val="3BC94324"/>
    <w:rsid w:val="3C601127"/>
    <w:rsid w:val="3D0715A3"/>
    <w:rsid w:val="3D4165B9"/>
    <w:rsid w:val="3E045AE2"/>
    <w:rsid w:val="3EF1250A"/>
    <w:rsid w:val="3F3D5750"/>
    <w:rsid w:val="41250249"/>
    <w:rsid w:val="419F0AB2"/>
    <w:rsid w:val="44A57033"/>
    <w:rsid w:val="45507871"/>
    <w:rsid w:val="46CB3641"/>
    <w:rsid w:val="4869695A"/>
    <w:rsid w:val="48D03190"/>
    <w:rsid w:val="48E87C92"/>
    <w:rsid w:val="49290344"/>
    <w:rsid w:val="498711E0"/>
    <w:rsid w:val="4BD66E26"/>
    <w:rsid w:val="4DF27705"/>
    <w:rsid w:val="4E3E294A"/>
    <w:rsid w:val="4F4E1C3F"/>
    <w:rsid w:val="4FD95020"/>
    <w:rsid w:val="50E05DC9"/>
    <w:rsid w:val="50F90885"/>
    <w:rsid w:val="5144296E"/>
    <w:rsid w:val="51DD247A"/>
    <w:rsid w:val="52990A97"/>
    <w:rsid w:val="52BF5135"/>
    <w:rsid w:val="53BE1EF3"/>
    <w:rsid w:val="53E10656"/>
    <w:rsid w:val="54AB2D04"/>
    <w:rsid w:val="55067F3A"/>
    <w:rsid w:val="5510217D"/>
    <w:rsid w:val="561D19DF"/>
    <w:rsid w:val="56B5458D"/>
    <w:rsid w:val="574C6777"/>
    <w:rsid w:val="578F06BB"/>
    <w:rsid w:val="5805272B"/>
    <w:rsid w:val="586B6F75"/>
    <w:rsid w:val="58DC16DE"/>
    <w:rsid w:val="59A902C7"/>
    <w:rsid w:val="5A6E0A5B"/>
    <w:rsid w:val="5AA91A93"/>
    <w:rsid w:val="5BDE576D"/>
    <w:rsid w:val="5C35640B"/>
    <w:rsid w:val="5C766531"/>
    <w:rsid w:val="5E421FE3"/>
    <w:rsid w:val="5EA573A1"/>
    <w:rsid w:val="5F724B4A"/>
    <w:rsid w:val="5FDA031C"/>
    <w:rsid w:val="5FF03618"/>
    <w:rsid w:val="61BB5801"/>
    <w:rsid w:val="62230294"/>
    <w:rsid w:val="627A1A44"/>
    <w:rsid w:val="63461508"/>
    <w:rsid w:val="64C122AF"/>
    <w:rsid w:val="64E94E5B"/>
    <w:rsid w:val="661B0340"/>
    <w:rsid w:val="66F647CD"/>
    <w:rsid w:val="67752C6B"/>
    <w:rsid w:val="69446A6A"/>
    <w:rsid w:val="69755D9C"/>
    <w:rsid w:val="6A794FDE"/>
    <w:rsid w:val="6A97623F"/>
    <w:rsid w:val="6AD14F8F"/>
    <w:rsid w:val="6AE35E3E"/>
    <w:rsid w:val="6B3C01C5"/>
    <w:rsid w:val="6CCF2536"/>
    <w:rsid w:val="6D734D23"/>
    <w:rsid w:val="6DAD3E81"/>
    <w:rsid w:val="6E337B9A"/>
    <w:rsid w:val="6F8B7571"/>
    <w:rsid w:val="70476D35"/>
    <w:rsid w:val="71092E34"/>
    <w:rsid w:val="71A843FB"/>
    <w:rsid w:val="720930EC"/>
    <w:rsid w:val="728C73A4"/>
    <w:rsid w:val="72A825D0"/>
    <w:rsid w:val="73373C88"/>
    <w:rsid w:val="7480340D"/>
    <w:rsid w:val="748340DC"/>
    <w:rsid w:val="74C3113D"/>
    <w:rsid w:val="75B55338"/>
    <w:rsid w:val="765654F8"/>
    <w:rsid w:val="768561A6"/>
    <w:rsid w:val="778046DE"/>
    <w:rsid w:val="782252F2"/>
    <w:rsid w:val="783C4260"/>
    <w:rsid w:val="7857588B"/>
    <w:rsid w:val="7877331F"/>
    <w:rsid w:val="78CD7F92"/>
    <w:rsid w:val="78E5576C"/>
    <w:rsid w:val="79607369"/>
    <w:rsid w:val="79A11E5C"/>
    <w:rsid w:val="7AD70449"/>
    <w:rsid w:val="7B03025E"/>
    <w:rsid w:val="7B276391"/>
    <w:rsid w:val="7B5F1840"/>
    <w:rsid w:val="7BBE598E"/>
    <w:rsid w:val="7C325917"/>
    <w:rsid w:val="7C684FEE"/>
    <w:rsid w:val="7CE7291C"/>
    <w:rsid w:val="7E2A262F"/>
    <w:rsid w:val="7E43626D"/>
    <w:rsid w:val="7E9B6C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_Style 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
    <w:name w:val="BodyText1I"/>
    <w:basedOn w:val="1"/>
    <w:qFormat/>
    <w:uiPriority w:val="99"/>
    <w:pPr>
      <w:snapToGrid w:val="0"/>
      <w:spacing w:line="360" w:lineRule="auto"/>
      <w:ind w:firstLine="420" w:firstLineChars="100"/>
    </w:pPr>
    <w:rPr>
      <w:sz w:val="28"/>
      <w:szCs w:val="20"/>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styleId="12">
    <w:name w:val="List Paragraph"/>
    <w:basedOn w:val="1"/>
    <w:qFormat/>
    <w:uiPriority w:val="99"/>
    <w:pPr>
      <w:ind w:firstLine="420" w:firstLineChars="200"/>
    </w:pPr>
    <w:rPr>
      <w:rFonts w:ascii="Calibri" w:hAnsi="Calibri" w:eastAsia="宋体" w:cs="Times New Roman"/>
      <w:szCs w:val="22"/>
    </w:rPr>
  </w:style>
  <w:style w:type="paragraph" w:customStyle="1" w:styleId="13">
    <w:name w:val="p0"/>
    <w:basedOn w:val="1"/>
    <w:qFormat/>
    <w:uiPriority w:val="0"/>
    <w:pPr>
      <w:widowControl/>
    </w:pPr>
    <w:rPr>
      <w:kern w:val="0"/>
      <w:szCs w:val="21"/>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1121</Words>
  <Characters>1198</Characters>
  <TotalTime>2</TotalTime>
  <ScaleCrop>false</ScaleCrop>
  <LinksUpToDate>false</LinksUpToDate>
  <CharactersWithSpaces>1248</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2024-03-05T15:32:00Z</dcterms:created>
  <dc:creator>User</dc:creator>
  <cp:lastModifiedBy>黄芳</cp:lastModifiedBy>
  <cp:lastPrinted>2025-05-19T01:38:00Z</cp:lastPrinted>
  <dcterms:modified xsi:type="dcterms:W3CDTF">2025-07-01T02:12:05Z</dcterms:modified>
  <dc:title>湖南省财政厅发文（指标、函）稿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2024-03-05T15:33:17Z</vt:filetime>
  </property>
  <property fmtid="{D5CDD505-2E9C-101B-9397-08002B2CF9AE}" pid="4" name="KSOProductBuildVer">
    <vt:lpwstr>2052-12.1.0.21541</vt:lpwstr>
  </property>
  <property fmtid="{D5CDD505-2E9C-101B-9397-08002B2CF9AE}" pid="5" name="ICV">
    <vt:lpwstr>B1E86AE84FA24A6EB0AE39662AA5480B_13</vt:lpwstr>
  </property>
  <property fmtid="{D5CDD505-2E9C-101B-9397-08002B2CF9AE}" pid="6" name="KSOTemplateDocerSaveRecord">
    <vt:lpwstr>eyJoZGlkIjoiNDM0YTRkNTZlNTIwMmM4MTg2YjZiNDhiN2IzYmQ3YzYiLCJ1c2VySWQiOiIxMDQyNDg3MjM3In0=</vt:lpwstr>
  </property>
</Properties>
</file>