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B39A">
      <w:pPr>
        <w:keepNext w:val="0"/>
        <w:keepLines w:val="0"/>
        <w:pageBreakBefore w:val="0"/>
        <w:overflowPunct/>
        <w:topLinePunct w:val="0"/>
        <w:bidi w:val="0"/>
        <w:spacing w:line="560" w:lineRule="exact"/>
        <w:rPr>
          <w:rFonts w:hint="default" w:ascii="Arial" w:eastAsia="宋体"/>
          <w:spacing w:val="0"/>
          <w:sz w:val="21"/>
          <w:lang w:val="en-US" w:eastAsia="zh-CN"/>
        </w:rPr>
      </w:pPr>
      <w:bookmarkStart w:id="0" w:name="OLE_LINK4"/>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5</w:t>
      </w:r>
      <w:bookmarkEnd w:id="0"/>
      <w:r>
        <w:rPr>
          <w:rFonts w:hint="eastAsia" w:ascii="Times New Roman" w:hAnsi="Times New Roman" w:eastAsia="宋体" w:cs="Times New Roman"/>
          <w:spacing w:val="0"/>
          <w:sz w:val="31"/>
          <w:szCs w:val="31"/>
          <w:lang w:val="en-US" w:eastAsia="zh-CN"/>
        </w:rPr>
        <w:t>-1</w:t>
      </w:r>
    </w:p>
    <w:p w14:paraId="6EAC3E9F">
      <w:pPr>
        <w:jc w:val="center"/>
        <w:rPr>
          <w:rFonts w:ascii="微软雅黑" w:hAnsi="微软雅黑" w:eastAsia="微软雅黑" w:cs="微软雅黑"/>
          <w:spacing w:val="0"/>
          <w:sz w:val="44"/>
          <w:szCs w:val="44"/>
        </w:rPr>
      </w:pPr>
    </w:p>
    <w:p w14:paraId="19947CEB">
      <w:pPr>
        <w:jc w:val="center"/>
        <w:rPr>
          <w:rFonts w:ascii="微软雅黑" w:hAnsi="微软雅黑" w:eastAsia="微软雅黑" w:cs="微软雅黑"/>
          <w:spacing w:val="0"/>
          <w:sz w:val="44"/>
          <w:szCs w:val="44"/>
        </w:rPr>
      </w:pPr>
      <w:r>
        <w:rPr>
          <w:rFonts w:ascii="微软雅黑" w:hAnsi="微软雅黑" w:eastAsia="微软雅黑" w:cs="微软雅黑"/>
          <w:spacing w:val="0"/>
          <w:sz w:val="44"/>
          <w:szCs w:val="44"/>
        </w:rPr>
        <w:t>202</w:t>
      </w:r>
      <w:r>
        <w:rPr>
          <w:rFonts w:hint="eastAsia" w:ascii="微软雅黑" w:hAnsi="微软雅黑" w:eastAsia="微软雅黑" w:cs="微软雅黑"/>
          <w:spacing w:val="0"/>
          <w:sz w:val="44"/>
          <w:szCs w:val="44"/>
          <w:lang w:val="en-US" w:eastAsia="zh-CN"/>
        </w:rPr>
        <w:t>4</w:t>
      </w:r>
      <w:r>
        <w:rPr>
          <w:rFonts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val="en-US" w:eastAsia="zh-CN"/>
        </w:rPr>
        <w:t>市云溪区文化馆</w:t>
      </w:r>
      <w:r>
        <w:rPr>
          <w:rFonts w:ascii="微软雅黑" w:hAnsi="微软雅黑" w:eastAsia="微软雅黑" w:cs="微软雅黑"/>
          <w:spacing w:val="0"/>
          <w:sz w:val="44"/>
          <w:szCs w:val="44"/>
        </w:rPr>
        <w:t>部门整体支出绩效自评报告</w:t>
      </w:r>
    </w:p>
    <w:p w14:paraId="2325181B">
      <w:pPr>
        <w:keepNext w:val="0"/>
        <w:keepLines w:val="0"/>
        <w:pageBreakBefore w:val="0"/>
        <w:overflowPunct/>
        <w:topLinePunct w:val="0"/>
        <w:bidi w:val="0"/>
        <w:spacing w:line="560" w:lineRule="exact"/>
        <w:rPr>
          <w:rFonts w:ascii="Arial"/>
          <w:spacing w:val="0"/>
          <w:sz w:val="21"/>
        </w:rPr>
      </w:pPr>
    </w:p>
    <w:p w14:paraId="3373C900">
      <w:pPr>
        <w:keepNext w:val="0"/>
        <w:keepLines w:val="0"/>
        <w:pageBreakBefore w:val="0"/>
        <w:overflowPunct/>
        <w:topLinePunct w:val="0"/>
        <w:bidi w:val="0"/>
        <w:spacing w:line="560" w:lineRule="exact"/>
        <w:rPr>
          <w:rFonts w:ascii="Arial"/>
          <w:spacing w:val="0"/>
          <w:sz w:val="21"/>
        </w:rPr>
      </w:pPr>
    </w:p>
    <w:p w14:paraId="5985ED5E">
      <w:pPr>
        <w:keepNext w:val="0"/>
        <w:keepLines w:val="0"/>
        <w:pageBreakBefore w:val="0"/>
        <w:overflowPunct/>
        <w:topLinePunct w:val="0"/>
        <w:bidi w:val="0"/>
        <w:spacing w:line="560" w:lineRule="exact"/>
        <w:rPr>
          <w:rFonts w:ascii="Arial"/>
          <w:spacing w:val="0"/>
          <w:sz w:val="21"/>
        </w:rPr>
      </w:pPr>
    </w:p>
    <w:p w14:paraId="02E10C8B">
      <w:pPr>
        <w:keepNext w:val="0"/>
        <w:keepLines w:val="0"/>
        <w:pageBreakBefore w:val="0"/>
        <w:overflowPunct/>
        <w:topLinePunct w:val="0"/>
        <w:bidi w:val="0"/>
        <w:spacing w:line="560" w:lineRule="exact"/>
        <w:rPr>
          <w:rFonts w:ascii="Arial"/>
          <w:spacing w:val="0"/>
          <w:sz w:val="21"/>
        </w:rPr>
      </w:pPr>
    </w:p>
    <w:p w14:paraId="3E23E523">
      <w:pPr>
        <w:keepNext w:val="0"/>
        <w:keepLines w:val="0"/>
        <w:pageBreakBefore w:val="0"/>
        <w:overflowPunct/>
        <w:topLinePunct w:val="0"/>
        <w:bidi w:val="0"/>
        <w:spacing w:line="560" w:lineRule="exact"/>
        <w:rPr>
          <w:rFonts w:ascii="Arial"/>
          <w:spacing w:val="0"/>
          <w:sz w:val="21"/>
        </w:rPr>
      </w:pPr>
    </w:p>
    <w:p w14:paraId="33080297">
      <w:pPr>
        <w:keepNext w:val="0"/>
        <w:keepLines w:val="0"/>
        <w:pageBreakBefore w:val="0"/>
        <w:overflowPunct/>
        <w:topLinePunct w:val="0"/>
        <w:bidi w:val="0"/>
        <w:spacing w:line="560" w:lineRule="exact"/>
        <w:rPr>
          <w:rFonts w:ascii="Arial"/>
          <w:spacing w:val="0"/>
          <w:sz w:val="21"/>
        </w:rPr>
      </w:pPr>
    </w:p>
    <w:p w14:paraId="352E605F">
      <w:pPr>
        <w:keepNext w:val="0"/>
        <w:keepLines w:val="0"/>
        <w:pageBreakBefore w:val="0"/>
        <w:overflowPunct/>
        <w:topLinePunct w:val="0"/>
        <w:bidi w:val="0"/>
        <w:spacing w:line="560" w:lineRule="exact"/>
        <w:rPr>
          <w:rFonts w:ascii="Arial"/>
          <w:spacing w:val="0"/>
          <w:sz w:val="21"/>
        </w:rPr>
      </w:pPr>
    </w:p>
    <w:p w14:paraId="21204381">
      <w:pPr>
        <w:keepNext w:val="0"/>
        <w:keepLines w:val="0"/>
        <w:pageBreakBefore w:val="0"/>
        <w:overflowPunct/>
        <w:topLinePunct w:val="0"/>
        <w:bidi w:val="0"/>
        <w:spacing w:line="560" w:lineRule="exact"/>
        <w:rPr>
          <w:rFonts w:ascii="Arial"/>
          <w:spacing w:val="0"/>
          <w:sz w:val="21"/>
        </w:rPr>
      </w:pPr>
    </w:p>
    <w:p w14:paraId="304F7CFA">
      <w:pPr>
        <w:keepNext w:val="0"/>
        <w:keepLines w:val="0"/>
        <w:pageBreakBefore w:val="0"/>
        <w:overflowPunct/>
        <w:topLinePunct w:val="0"/>
        <w:bidi w:val="0"/>
        <w:spacing w:line="560" w:lineRule="exact"/>
        <w:rPr>
          <w:rFonts w:ascii="Arial"/>
          <w:spacing w:val="0"/>
          <w:sz w:val="21"/>
        </w:rPr>
      </w:pPr>
    </w:p>
    <w:p w14:paraId="269E3F96">
      <w:pPr>
        <w:keepNext w:val="0"/>
        <w:keepLines w:val="0"/>
        <w:pageBreakBefore w:val="0"/>
        <w:overflowPunct/>
        <w:topLinePunct w:val="0"/>
        <w:bidi w:val="0"/>
        <w:spacing w:line="560" w:lineRule="exact"/>
        <w:rPr>
          <w:rFonts w:ascii="Arial"/>
          <w:spacing w:val="0"/>
          <w:sz w:val="21"/>
        </w:rPr>
      </w:pPr>
    </w:p>
    <w:p w14:paraId="655C1A21">
      <w:pPr>
        <w:keepNext w:val="0"/>
        <w:keepLines w:val="0"/>
        <w:pageBreakBefore w:val="0"/>
        <w:overflowPunct/>
        <w:topLinePunct w:val="0"/>
        <w:bidi w:val="0"/>
        <w:spacing w:line="560" w:lineRule="exact"/>
        <w:rPr>
          <w:rFonts w:ascii="Arial"/>
          <w:spacing w:val="0"/>
          <w:sz w:val="21"/>
        </w:rPr>
      </w:pPr>
    </w:p>
    <w:p w14:paraId="13878677">
      <w:pPr>
        <w:keepNext w:val="0"/>
        <w:keepLines w:val="0"/>
        <w:pageBreakBefore w:val="0"/>
        <w:overflowPunct/>
        <w:topLinePunct w:val="0"/>
        <w:bidi w:val="0"/>
        <w:spacing w:line="560" w:lineRule="exact"/>
        <w:rPr>
          <w:rFonts w:ascii="Arial"/>
          <w:spacing w:val="0"/>
          <w:sz w:val="21"/>
        </w:rPr>
      </w:pPr>
    </w:p>
    <w:p w14:paraId="7F63AC96">
      <w:pPr>
        <w:jc w:val="center"/>
        <w:rPr>
          <w:spacing w:val="0"/>
        </w:rPr>
      </w:pPr>
      <w:r>
        <w:rPr>
          <w:spacing w:val="0"/>
        </w:rPr>
        <w:t>部门（</w:t>
      </w:r>
      <w:r>
        <w:rPr>
          <w:rFonts w:hint="eastAsia"/>
          <w:spacing w:val="0"/>
          <w:lang w:val="en-US" w:eastAsia="zh-CN"/>
        </w:rPr>
        <w:t>云溪区文化馆</w:t>
      </w:r>
      <w:r>
        <w:rPr>
          <w:rFonts w:hint="eastAsia"/>
          <w:spacing w:val="0"/>
        </w:rPr>
        <w:t xml:space="preserve"> </w:t>
      </w:r>
      <w:r>
        <w:rPr>
          <w:spacing w:val="0"/>
        </w:rPr>
        <w:t xml:space="preserve">）名称： </w:t>
      </w:r>
      <w:r>
        <w:rPr>
          <w:spacing w:val="0"/>
          <w:u w:val="single" w:color="auto"/>
        </w:rPr>
        <w:t xml:space="preserve"> （盖章）         </w:t>
      </w:r>
    </w:p>
    <w:p w14:paraId="226B30BC">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年</w:t>
      </w:r>
      <w:r>
        <w:rPr>
          <w:rFonts w:hint="eastAsia" w:ascii="楷体" w:hAnsi="楷体" w:eastAsia="楷体" w:cs="楷体"/>
          <w:spacing w:val="0"/>
          <w:sz w:val="31"/>
          <w:szCs w:val="31"/>
          <w:lang w:val="en-US" w:eastAsia="zh-CN"/>
        </w:rPr>
        <w:t>6</w:t>
      </w:r>
      <w:r>
        <w:rPr>
          <w:rFonts w:ascii="楷体" w:hAnsi="楷体" w:eastAsia="楷体" w:cs="楷体"/>
          <w:spacing w:val="0"/>
          <w:sz w:val="31"/>
          <w:szCs w:val="31"/>
        </w:rPr>
        <w:t xml:space="preserve">  月</w:t>
      </w:r>
      <w:r>
        <w:rPr>
          <w:rFonts w:hint="eastAsia" w:ascii="楷体" w:hAnsi="楷体" w:eastAsia="楷体" w:cs="楷体"/>
          <w:spacing w:val="0"/>
          <w:sz w:val="31"/>
          <w:szCs w:val="31"/>
          <w:lang w:val="en-US" w:eastAsia="zh-CN"/>
        </w:rPr>
        <w:t>20</w:t>
      </w:r>
      <w:r>
        <w:rPr>
          <w:rFonts w:ascii="楷体" w:hAnsi="楷体" w:eastAsia="楷体" w:cs="楷体"/>
          <w:spacing w:val="0"/>
          <w:sz w:val="31"/>
          <w:szCs w:val="31"/>
        </w:rPr>
        <w:t xml:space="preserve">  日</w:t>
      </w:r>
    </w:p>
    <w:p w14:paraId="2F10CA3B">
      <w:pPr>
        <w:keepNext w:val="0"/>
        <w:keepLines w:val="0"/>
        <w:pageBreakBefore w:val="0"/>
        <w:overflowPunct/>
        <w:topLinePunct w:val="0"/>
        <w:bidi w:val="0"/>
        <w:spacing w:line="560" w:lineRule="exact"/>
        <w:rPr>
          <w:rFonts w:ascii="Arial"/>
          <w:spacing w:val="0"/>
          <w:sz w:val="21"/>
        </w:rPr>
      </w:pPr>
    </w:p>
    <w:p w14:paraId="42864015">
      <w:pPr>
        <w:pStyle w:val="3"/>
        <w:keepNext w:val="0"/>
        <w:keepLines w:val="0"/>
        <w:pageBreakBefore w:val="0"/>
        <w:overflowPunct/>
        <w:topLinePunct w:val="0"/>
        <w:bidi w:val="0"/>
        <w:spacing w:line="560" w:lineRule="exact"/>
        <w:ind w:left="3216"/>
        <w:rPr>
          <w:spacing w:val="0"/>
        </w:rPr>
      </w:pPr>
      <w:r>
        <w:rPr>
          <w:spacing w:val="0"/>
        </w:rPr>
        <w:t>（此页为封面）</w:t>
      </w:r>
    </w:p>
    <w:p w14:paraId="626B16D7">
      <w:pPr>
        <w:keepNext w:val="0"/>
        <w:keepLines w:val="0"/>
        <w:pageBreakBefore w:val="0"/>
        <w:overflowPunct/>
        <w:topLinePunct w:val="0"/>
        <w:bidi w:val="0"/>
        <w:spacing w:line="560" w:lineRule="exact"/>
        <w:rPr>
          <w:spacing w:val="0"/>
        </w:rPr>
        <w:sectPr>
          <w:footerReference r:id="rId5" w:type="default"/>
          <w:pgSz w:w="11900" w:h="16833"/>
          <w:pgMar w:top="1401" w:right="1583" w:bottom="1445" w:left="1618" w:header="0" w:footer="1170" w:gutter="0"/>
          <w:cols w:space="720" w:num="1"/>
        </w:sectPr>
      </w:pPr>
    </w:p>
    <w:p w14:paraId="4DEFE40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微软雅黑" w:hAnsi="微软雅黑" w:eastAsia="微软雅黑" w:cs="微软雅黑"/>
          <w:spacing w:val="0"/>
          <w:sz w:val="44"/>
          <w:szCs w:val="44"/>
        </w:rPr>
      </w:pPr>
    </w:p>
    <w:p w14:paraId="3E0F39A3">
      <w:pPr>
        <w:keepNext w:val="0"/>
        <w:keepLines w:val="0"/>
        <w:pageBreakBefore w:val="0"/>
        <w:widowControl/>
        <w:kinsoku w:val="0"/>
        <w:wordWrap/>
        <w:overflowPunct/>
        <w:topLinePunct w:val="0"/>
        <w:autoSpaceDE w:val="0"/>
        <w:autoSpaceDN w:val="0"/>
        <w:bidi w:val="0"/>
        <w:adjustRightInd w:val="0"/>
        <w:snapToGrid w:val="0"/>
        <w:spacing w:line="560" w:lineRule="exact"/>
        <w:ind w:left="880" w:hanging="880" w:hangingChars="200"/>
        <w:textAlignment w:val="baseline"/>
        <w:rPr>
          <w:rFonts w:hint="eastAsia" w:ascii="微软雅黑" w:hAnsi="微软雅黑" w:eastAsia="微软雅黑" w:cs="微软雅黑"/>
          <w:spacing w:val="0"/>
          <w:sz w:val="44"/>
          <w:szCs w:val="44"/>
        </w:rPr>
      </w:pPr>
      <w:r>
        <w:rPr>
          <w:rFonts w:hint="eastAsia" w:ascii="微软雅黑" w:hAnsi="微软雅黑" w:eastAsia="微软雅黑" w:cs="微软雅黑"/>
          <w:spacing w:val="0"/>
          <w:sz w:val="44"/>
          <w:szCs w:val="44"/>
        </w:rPr>
        <w:t>202</w:t>
      </w:r>
      <w:r>
        <w:rPr>
          <w:rFonts w:hint="eastAsia" w:ascii="微软雅黑" w:hAnsi="微软雅黑" w:eastAsia="微软雅黑" w:cs="微软雅黑"/>
          <w:spacing w:val="0"/>
          <w:sz w:val="44"/>
          <w:szCs w:val="44"/>
          <w:lang w:val="en-US" w:eastAsia="zh-CN"/>
        </w:rPr>
        <w:t>4</w:t>
      </w:r>
      <w:r>
        <w:rPr>
          <w:rFonts w:hint="eastAsia"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val="en-US" w:eastAsia="zh-CN"/>
        </w:rPr>
        <w:t>云溪区文化馆</w:t>
      </w:r>
      <w:r>
        <w:rPr>
          <w:rFonts w:hint="eastAsia" w:ascii="微软雅黑" w:hAnsi="微软雅黑" w:eastAsia="微软雅黑" w:cs="微软雅黑"/>
          <w:spacing w:val="0"/>
          <w:sz w:val="44"/>
          <w:szCs w:val="44"/>
        </w:rPr>
        <w:t>部门整体支出绩效</w:t>
      </w:r>
    </w:p>
    <w:p w14:paraId="6625A7E9">
      <w:pPr>
        <w:keepNext w:val="0"/>
        <w:keepLines w:val="0"/>
        <w:pageBreakBefore w:val="0"/>
        <w:widowControl/>
        <w:kinsoku w:val="0"/>
        <w:wordWrap/>
        <w:overflowPunct/>
        <w:topLinePunct w:val="0"/>
        <w:autoSpaceDE w:val="0"/>
        <w:autoSpaceDN w:val="0"/>
        <w:bidi w:val="0"/>
        <w:adjustRightInd w:val="0"/>
        <w:snapToGrid w:val="0"/>
        <w:spacing w:line="560" w:lineRule="exact"/>
        <w:ind w:left="878" w:leftChars="418" w:firstLine="1760" w:firstLineChars="400"/>
        <w:textAlignment w:val="baseline"/>
        <w:rPr>
          <w:rFonts w:hint="eastAsia" w:ascii="微软雅黑" w:hAnsi="微软雅黑" w:eastAsia="微软雅黑" w:cs="微软雅黑"/>
          <w:spacing w:val="0"/>
          <w:sz w:val="44"/>
          <w:szCs w:val="44"/>
        </w:rPr>
      </w:pPr>
      <w:r>
        <w:rPr>
          <w:rFonts w:hint="eastAsia" w:ascii="微软雅黑" w:hAnsi="微软雅黑" w:eastAsia="微软雅黑" w:cs="微软雅黑"/>
          <w:spacing w:val="0"/>
          <w:sz w:val="44"/>
          <w:szCs w:val="44"/>
        </w:rPr>
        <w:t>自评报告</w:t>
      </w:r>
    </w:p>
    <w:p w14:paraId="1B3751CF">
      <w:pPr>
        <w:keepNext w:val="0"/>
        <w:keepLines w:val="0"/>
        <w:pageBreakBefore w:val="0"/>
        <w:widowControl/>
        <w:kinsoku w:val="0"/>
        <w:wordWrap/>
        <w:overflowPunct/>
        <w:topLinePunct w:val="0"/>
        <w:autoSpaceDE w:val="0"/>
        <w:autoSpaceDN w:val="0"/>
        <w:bidi w:val="0"/>
        <w:adjustRightInd w:val="0"/>
        <w:snapToGrid w:val="0"/>
        <w:spacing w:line="560" w:lineRule="exact"/>
        <w:ind w:left="880" w:hanging="880" w:hangingChars="200"/>
        <w:textAlignment w:val="baseline"/>
        <w:rPr>
          <w:rFonts w:hint="eastAsia" w:ascii="微软雅黑" w:hAnsi="微软雅黑" w:eastAsia="微软雅黑" w:cs="微软雅黑"/>
          <w:spacing w:val="0"/>
          <w:sz w:val="44"/>
          <w:szCs w:val="44"/>
        </w:rPr>
      </w:pPr>
    </w:p>
    <w:p w14:paraId="69FBD85F">
      <w:pPr>
        <w:pStyle w:val="12"/>
        <w:rPr>
          <w:rFonts w:hint="eastAsia"/>
        </w:rPr>
      </w:pPr>
    </w:p>
    <w:p w14:paraId="6060F23E">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 w:eastAsia="zh-CN"/>
        </w:rPr>
      </w:pPr>
      <w:r>
        <w:rPr>
          <w:rFonts w:hint="eastAsia" w:ascii="宋体" w:hAnsi="宋体" w:eastAsia="宋体" w:cs="宋体"/>
          <w:bCs/>
          <w:sz w:val="24"/>
          <w:szCs w:val="24"/>
          <w:lang w:val="en" w:eastAsia="zh-CN"/>
        </w:rPr>
        <w:t>一</w:t>
      </w:r>
      <w:r>
        <w:rPr>
          <w:rFonts w:hint="eastAsia" w:ascii="黑体" w:hAnsi="黑体" w:eastAsia="黑体" w:cs="黑体"/>
          <w:bCs/>
          <w:sz w:val="24"/>
          <w:szCs w:val="24"/>
          <w:lang w:val="en" w:eastAsia="zh-CN"/>
        </w:rPr>
        <w:t>、部门（</w:t>
      </w:r>
      <w:r>
        <w:rPr>
          <w:rFonts w:hint="eastAsia" w:ascii="黑体" w:hAnsi="黑体" w:eastAsia="黑体" w:cs="黑体"/>
          <w:bCs/>
          <w:sz w:val="24"/>
          <w:szCs w:val="24"/>
          <w:lang w:val="en-US" w:eastAsia="zh-CN"/>
        </w:rPr>
        <w:t>云溪区文化馆</w:t>
      </w:r>
      <w:r>
        <w:rPr>
          <w:rFonts w:hint="eastAsia" w:ascii="黑体" w:hAnsi="黑体" w:eastAsia="黑体" w:cs="黑体"/>
          <w:bCs/>
          <w:sz w:val="24"/>
          <w:szCs w:val="24"/>
          <w:lang w:val="en" w:eastAsia="zh-CN"/>
        </w:rPr>
        <w:t>）概况</w:t>
      </w:r>
    </w:p>
    <w:p w14:paraId="1786148A">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 w:eastAsia="zh-CN"/>
        </w:rPr>
        <w:t>正股级事业机构，隶属区文旅广局。运用各种文艺形式宣传党的路线、方针、政策和国家法律法规，普及科学文化知识；组织开展各类群众文化活动</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en" w:eastAsia="zh-CN"/>
        </w:rPr>
        <w:t>承担全区大型文化活动的策划组织和实施；指导全区群众文化工作，开展群众文艺创作、文化艺术培训和文艺特色团队建设，</w:t>
      </w:r>
      <w:r>
        <w:rPr>
          <w:rFonts w:hint="eastAsia" w:ascii="宋体" w:hAnsi="宋体" w:eastAsia="宋体" w:cs="宋体"/>
          <w:bCs/>
          <w:sz w:val="24"/>
          <w:szCs w:val="24"/>
          <w:lang w:val="en-US" w:eastAsia="zh-CN"/>
        </w:rPr>
        <w:t>指导下一级文化站、村（社区）综合文化服务中心群众文化工作;</w:t>
      </w:r>
      <w:r>
        <w:rPr>
          <w:rFonts w:hint="eastAsia" w:ascii="宋体" w:hAnsi="宋体" w:eastAsia="宋体" w:cs="宋体"/>
          <w:bCs/>
          <w:sz w:val="24"/>
          <w:szCs w:val="24"/>
          <w:lang w:val="en" w:eastAsia="zh-CN"/>
        </w:rPr>
        <w:t>加强文化品牌的培育，提升区域文化品位；负责全区非物质文化遗产的保护和传承工作。</w:t>
      </w:r>
    </w:p>
    <w:p w14:paraId="12A3C87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0019B5AE">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54F37EE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20</w:t>
      </w:r>
      <w:r>
        <w:rPr>
          <w:rFonts w:hint="eastAsia" w:ascii="宋体" w:hAnsi="宋体" w:eastAsia="宋体" w:cs="宋体"/>
          <w:bCs/>
          <w:sz w:val="24"/>
          <w:szCs w:val="24"/>
          <w:lang w:val="en-US" w:eastAsia="zh-CN"/>
        </w:rPr>
        <w:t>24</w:t>
      </w:r>
      <w:r>
        <w:rPr>
          <w:rFonts w:hint="eastAsia" w:ascii="宋体" w:hAnsi="宋体" w:eastAsia="宋体" w:cs="宋体"/>
          <w:bCs/>
          <w:sz w:val="24"/>
          <w:szCs w:val="24"/>
          <w:lang w:eastAsia="zh-CN"/>
        </w:rPr>
        <w:t>年财政拨款基本支</w:t>
      </w:r>
      <w:r>
        <w:rPr>
          <w:rFonts w:hint="eastAsia" w:ascii="宋体" w:hAnsi="宋体" w:eastAsia="宋体" w:cs="宋体"/>
          <w:bCs/>
          <w:sz w:val="24"/>
          <w:szCs w:val="24"/>
          <w:lang w:val="en-US" w:eastAsia="zh-CN"/>
        </w:rPr>
        <w:t>出69.52万元，其中：人员支出67.61万元，公用支出1.91万元，其中“三公”经费支出0万元。（公务接待费0万元，公务用车运行费</w:t>
      </w:r>
      <w:r>
        <w:rPr>
          <w:rFonts w:hint="eastAsia" w:ascii="宋体" w:hAnsi="宋体" w:eastAsia="宋体" w:cs="宋体"/>
          <w:bCs/>
          <w:sz w:val="24"/>
          <w:szCs w:val="24"/>
          <w:lang w:val="en-US" w:eastAsia="zh-CN"/>
        </w:rPr>
        <w:t>0万元。</w:t>
      </w:r>
      <w:r>
        <w:rPr>
          <w:rFonts w:hint="eastAsia" w:ascii="宋体" w:hAnsi="宋体" w:eastAsia="宋体" w:cs="宋体"/>
          <w:bCs/>
          <w:sz w:val="24"/>
          <w:szCs w:val="24"/>
        </w:rPr>
        <w:t>）</w:t>
      </w:r>
    </w:p>
    <w:p w14:paraId="58C2E54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（二）项目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3B2F0430">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2024年项目支出157.9</w:t>
      </w:r>
      <w:r>
        <w:rPr>
          <w:rFonts w:hint="eastAsia" w:ascii="宋体" w:hAnsi="宋体" w:eastAsia="宋体" w:cs="宋体"/>
          <w:bCs/>
          <w:sz w:val="24"/>
          <w:szCs w:val="24"/>
          <w:lang w:eastAsia="zh-CN"/>
        </w:rPr>
        <w:t>万元。</w:t>
      </w:r>
      <w:r>
        <w:rPr>
          <w:rFonts w:hint="eastAsia" w:ascii="宋体" w:hAnsi="宋体" w:eastAsia="宋体" w:cs="宋体"/>
          <w:bCs/>
          <w:sz w:val="24"/>
          <w:szCs w:val="24"/>
          <w:lang w:val="en-US" w:eastAsia="zh-CN"/>
        </w:rPr>
        <w:t>2024</w:t>
      </w:r>
      <w:r>
        <w:rPr>
          <w:rFonts w:hint="eastAsia" w:ascii="宋体" w:hAnsi="宋体" w:eastAsia="宋体" w:cs="宋体"/>
          <w:bCs/>
          <w:sz w:val="24"/>
          <w:szCs w:val="24"/>
          <w:lang w:val="en-US" w:eastAsia="zh-CN"/>
        </w:rPr>
        <w:t>年各类</w:t>
      </w:r>
      <w:r>
        <w:rPr>
          <w:rFonts w:hint="eastAsia" w:ascii="宋体" w:hAnsi="宋体" w:eastAsia="宋体" w:cs="宋体"/>
          <w:bCs/>
          <w:sz w:val="24"/>
          <w:szCs w:val="24"/>
          <w:lang w:val="en" w:eastAsia="zh-CN"/>
        </w:rPr>
        <w:t>群众文化活动</w:t>
      </w:r>
      <w:r>
        <w:rPr>
          <w:rFonts w:hint="eastAsia" w:ascii="宋体" w:hAnsi="宋体" w:eastAsia="宋体" w:cs="宋体"/>
          <w:bCs/>
          <w:sz w:val="24"/>
          <w:szCs w:val="24"/>
          <w:lang w:val="en-US" w:eastAsia="zh-CN"/>
        </w:rPr>
        <w:t>有序开展，</w:t>
      </w:r>
      <w:r>
        <w:rPr>
          <w:rFonts w:hint="default" w:ascii="宋体" w:hAnsi="宋体" w:eastAsia="宋体" w:cs="宋体"/>
          <w:bCs/>
          <w:sz w:val="24"/>
          <w:szCs w:val="24"/>
          <w:lang w:val="en-US" w:eastAsia="zh-CN"/>
        </w:rPr>
        <w:t>积极谋划</w:t>
      </w:r>
      <w:r>
        <w:rPr>
          <w:rFonts w:hint="eastAsia" w:ascii="宋体" w:hAnsi="宋体" w:eastAsia="宋体" w:cs="宋体"/>
          <w:bCs/>
          <w:sz w:val="24"/>
          <w:szCs w:val="24"/>
          <w:lang w:val="en-US" w:eastAsia="zh-CN"/>
        </w:rPr>
        <w:t>了2025</w:t>
      </w:r>
      <w:r>
        <w:rPr>
          <w:rFonts w:hint="default" w:ascii="宋体" w:hAnsi="宋体" w:eastAsia="宋体" w:cs="宋体"/>
          <w:bCs/>
          <w:sz w:val="24"/>
          <w:szCs w:val="24"/>
          <w:lang w:val="en-US" w:eastAsia="zh-CN"/>
        </w:rPr>
        <w:t>“灯火云溪·民俗闹新春”、第二届“樱花节”、“建区40周年成果汇报暨高质量发展推进大会”</w:t>
      </w:r>
      <w:r>
        <w:rPr>
          <w:rFonts w:hint="eastAsia" w:ascii="宋体" w:hAnsi="宋体" w:eastAsia="宋体" w:cs="宋体"/>
          <w:bCs/>
          <w:sz w:val="24"/>
          <w:szCs w:val="24"/>
          <w:lang w:val="en-US" w:eastAsia="zh-CN"/>
        </w:rPr>
        <w:t>和</w:t>
      </w:r>
      <w:r>
        <w:rPr>
          <w:rFonts w:hint="default" w:ascii="宋体" w:hAnsi="宋体" w:eastAsia="宋体" w:cs="宋体"/>
          <w:bCs/>
          <w:sz w:val="24"/>
          <w:szCs w:val="24"/>
          <w:lang w:val="en-US" w:eastAsia="zh-CN"/>
        </w:rPr>
        <w:t>云溪区“庆七一” 现代京剧演唱会</w:t>
      </w:r>
      <w:r>
        <w:rPr>
          <w:rFonts w:hint="eastAsia" w:ascii="宋体" w:hAnsi="宋体" w:eastAsia="宋体" w:cs="宋体"/>
          <w:bCs/>
          <w:sz w:val="24"/>
          <w:szCs w:val="24"/>
          <w:lang w:val="en-US" w:eastAsia="zh-CN"/>
        </w:rPr>
        <w:t>、云溪区科技文化卫生“三下乡”文艺演出</w:t>
      </w:r>
      <w:r>
        <w:rPr>
          <w:rFonts w:hint="default" w:ascii="宋体" w:hAnsi="宋体" w:eastAsia="宋体" w:cs="宋体"/>
          <w:bCs/>
          <w:sz w:val="24"/>
          <w:szCs w:val="24"/>
          <w:lang w:val="en-US" w:eastAsia="zh-CN"/>
        </w:rPr>
        <w:t>等相关主题活动。精心组织举办各种大型主题文化活动、文艺演出、一元剧场、送</w:t>
      </w:r>
      <w:r>
        <w:rPr>
          <w:rFonts w:hint="eastAsia" w:ascii="宋体" w:hAnsi="宋体" w:eastAsia="宋体" w:cs="宋体"/>
          <w:bCs/>
          <w:sz w:val="24"/>
          <w:szCs w:val="24"/>
          <w:lang w:val="en-US" w:eastAsia="zh-CN"/>
        </w:rPr>
        <w:t>戏</w:t>
      </w:r>
      <w:r>
        <w:rPr>
          <w:rFonts w:hint="default" w:ascii="宋体" w:hAnsi="宋体" w:eastAsia="宋体" w:cs="宋体"/>
          <w:bCs/>
          <w:sz w:val="24"/>
          <w:szCs w:val="24"/>
          <w:lang w:val="en-US" w:eastAsia="zh-CN"/>
        </w:rPr>
        <w:t>下乡活动</w:t>
      </w:r>
      <w:r>
        <w:rPr>
          <w:rFonts w:hint="eastAsia" w:ascii="宋体" w:hAnsi="宋体" w:eastAsia="宋体" w:cs="宋体"/>
          <w:bCs/>
          <w:sz w:val="24"/>
          <w:szCs w:val="24"/>
          <w:lang w:val="en-US" w:eastAsia="zh-CN"/>
        </w:rPr>
        <w:t>、</w:t>
      </w:r>
      <w:r>
        <w:rPr>
          <w:rFonts w:hint="default" w:ascii="宋体" w:hAnsi="宋体" w:eastAsia="宋体" w:cs="宋体"/>
          <w:bCs/>
          <w:sz w:val="24"/>
          <w:szCs w:val="24"/>
          <w:lang w:val="en-US" w:eastAsia="zh-CN"/>
        </w:rPr>
        <w:t>培训、公益讲座、主题展览共</w:t>
      </w:r>
      <w:r>
        <w:rPr>
          <w:rFonts w:hint="eastAsia" w:ascii="宋体" w:hAnsi="宋体" w:eastAsia="宋体" w:cs="宋体"/>
          <w:bCs/>
          <w:sz w:val="24"/>
          <w:szCs w:val="24"/>
          <w:lang w:val="en-US" w:eastAsia="zh-CN"/>
        </w:rPr>
        <w:t>75</w:t>
      </w:r>
      <w:r>
        <w:rPr>
          <w:rFonts w:hint="default" w:ascii="宋体" w:hAnsi="宋体" w:eastAsia="宋体" w:cs="宋体"/>
          <w:bCs/>
          <w:sz w:val="24"/>
          <w:szCs w:val="24"/>
          <w:lang w:val="en-US" w:eastAsia="zh-CN"/>
        </w:rPr>
        <w:t>场次，参与演员、受益群众</w:t>
      </w:r>
      <w:r>
        <w:rPr>
          <w:rFonts w:hint="eastAsia" w:ascii="宋体" w:hAnsi="宋体" w:eastAsia="宋体" w:cs="宋体"/>
          <w:bCs/>
          <w:sz w:val="24"/>
          <w:szCs w:val="24"/>
          <w:lang w:val="en-US" w:eastAsia="zh-CN"/>
        </w:rPr>
        <w:t xml:space="preserve"> 227513</w:t>
      </w:r>
      <w:r>
        <w:rPr>
          <w:rFonts w:hint="default" w:ascii="宋体" w:hAnsi="宋体" w:eastAsia="宋体" w:cs="宋体"/>
          <w:bCs/>
          <w:sz w:val="24"/>
          <w:szCs w:val="24"/>
          <w:lang w:val="en-US" w:eastAsia="zh-CN"/>
        </w:rPr>
        <w:t>人次</w:t>
      </w:r>
      <w:r>
        <w:rPr>
          <w:rFonts w:hint="eastAsia" w:ascii="宋体" w:hAnsi="宋体" w:eastAsia="宋体" w:cs="宋体"/>
          <w:bCs/>
          <w:sz w:val="24"/>
          <w:szCs w:val="24"/>
          <w:lang w:val="en-US" w:eastAsia="zh-CN"/>
        </w:rPr>
        <w:t>。</w:t>
      </w:r>
    </w:p>
    <w:p w14:paraId="074BACA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p>
    <w:p w14:paraId="5130B65A">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政府性基金预算支出情况</w:t>
      </w:r>
    </w:p>
    <w:p w14:paraId="7E9042A1">
      <w:pPr>
        <w:ind w:firstLine="420" w:firstLineChars="200"/>
        <w:rPr>
          <w:rFonts w:hint="eastAsia"/>
          <w:lang w:val="en-US" w:eastAsia="zh-CN"/>
        </w:rPr>
      </w:pPr>
      <w:r>
        <w:rPr>
          <w:rFonts w:hint="eastAsia"/>
          <w:lang w:val="en-US" w:eastAsia="zh-CN"/>
        </w:rPr>
        <w:t>无。</w:t>
      </w:r>
    </w:p>
    <w:p w14:paraId="195B8D7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国有资本经营预算支出情况</w:t>
      </w:r>
    </w:p>
    <w:p w14:paraId="5893C16E">
      <w:pPr>
        <w:pStyle w:val="12"/>
        <w:numPr>
          <w:ilvl w:val="0"/>
          <w:numId w:val="0"/>
        </w:numPr>
        <w:ind w:leftChars="200"/>
        <w:rPr>
          <w:rFonts w:hint="eastAsia"/>
          <w:lang w:val="en-US" w:eastAsia="zh-CN"/>
        </w:rPr>
      </w:pPr>
    </w:p>
    <w:p w14:paraId="40030D92">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32CD88B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五、社会保险基金预算支出情况</w:t>
      </w:r>
    </w:p>
    <w:p w14:paraId="7B32DB59">
      <w:pPr>
        <w:pStyle w:val="12"/>
        <w:rPr>
          <w:rFonts w:hint="eastAsia"/>
          <w:lang w:val="en-US" w:eastAsia="zh-CN"/>
        </w:rPr>
      </w:pPr>
    </w:p>
    <w:p w14:paraId="3248F1AF">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1937ABC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六、部门整体支出绩效情况</w:t>
      </w:r>
    </w:p>
    <w:p w14:paraId="7BBC36A3">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 w:eastAsia="zh-CN"/>
        </w:rPr>
      </w:pPr>
      <w:r>
        <w:rPr>
          <w:rFonts w:hint="eastAsia" w:ascii="宋体" w:hAnsi="宋体" w:eastAsia="宋体" w:cs="宋体"/>
          <w:b/>
          <w:bCs w:val="0"/>
          <w:sz w:val="24"/>
          <w:szCs w:val="24"/>
          <w:lang w:val="en-US" w:eastAsia="zh-CN"/>
        </w:rPr>
        <w:t>文化惠民</w:t>
      </w:r>
      <w:r>
        <w:rPr>
          <w:rFonts w:hint="eastAsia" w:ascii="宋体" w:hAnsi="宋体" w:eastAsia="宋体" w:cs="宋体"/>
          <w:b/>
          <w:bCs w:val="0"/>
          <w:sz w:val="24"/>
          <w:szCs w:val="24"/>
          <w:lang w:val="en" w:eastAsia="zh-CN"/>
        </w:rPr>
        <w:t>工作出成效</w:t>
      </w:r>
    </w:p>
    <w:p w14:paraId="14E13C8C">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 w:eastAsia="zh-CN"/>
        </w:rPr>
        <w:t>今年，</w:t>
      </w:r>
      <w:r>
        <w:rPr>
          <w:rFonts w:hint="default" w:ascii="宋体" w:hAnsi="宋体" w:eastAsia="宋体" w:cs="宋体"/>
          <w:bCs/>
          <w:sz w:val="24"/>
          <w:szCs w:val="24"/>
          <w:lang w:val="en-US" w:eastAsia="zh-CN"/>
        </w:rPr>
        <w:t>云溪区文化馆围绕学习宣传贯彻党的二十大精神、习近平新时代中国特色社会主义思想及结合我区“建区40周年”、</w:t>
      </w:r>
      <w:r>
        <w:rPr>
          <w:rFonts w:hint="eastAsia" w:ascii="宋体" w:hAnsi="宋体" w:eastAsia="宋体" w:cs="宋体"/>
          <w:bCs/>
          <w:sz w:val="24"/>
          <w:szCs w:val="24"/>
          <w:lang w:val="en-US" w:eastAsia="zh-CN"/>
        </w:rPr>
        <w:t>“到群众需要的地方去”</w:t>
      </w:r>
      <w:r>
        <w:rPr>
          <w:rFonts w:hint="default" w:ascii="宋体" w:hAnsi="宋体" w:eastAsia="宋体" w:cs="宋体"/>
          <w:bCs/>
          <w:sz w:val="24"/>
          <w:szCs w:val="24"/>
          <w:lang w:val="en-US" w:eastAsia="zh-CN"/>
        </w:rPr>
        <w:t>、“文明乡风”、“中国梦”等主题活动和全区重点工作，开展歌曲、舞蹈、小品、朗诵、戏剧等文艺作品的创作。积极谋划</w:t>
      </w:r>
      <w:r>
        <w:rPr>
          <w:rFonts w:hint="eastAsia" w:ascii="宋体" w:hAnsi="宋体" w:eastAsia="宋体" w:cs="宋体"/>
          <w:bCs/>
          <w:sz w:val="24"/>
          <w:szCs w:val="24"/>
          <w:lang w:val="en-US" w:eastAsia="zh-CN"/>
        </w:rPr>
        <w:t>2025</w:t>
      </w:r>
      <w:r>
        <w:rPr>
          <w:rFonts w:hint="default" w:ascii="宋体" w:hAnsi="宋体" w:eastAsia="宋体" w:cs="宋体"/>
          <w:bCs/>
          <w:sz w:val="24"/>
          <w:szCs w:val="24"/>
          <w:lang w:val="en-US" w:eastAsia="zh-CN"/>
        </w:rPr>
        <w:t>“灯火云溪·民俗闹新春”、第二届“樱花节”、“建区40周年成果汇报暨高质量发展推进大会”</w:t>
      </w:r>
      <w:r>
        <w:rPr>
          <w:rFonts w:hint="eastAsia" w:ascii="宋体" w:hAnsi="宋体" w:eastAsia="宋体" w:cs="宋体"/>
          <w:bCs/>
          <w:sz w:val="24"/>
          <w:szCs w:val="24"/>
          <w:lang w:val="en-US" w:eastAsia="zh-CN"/>
        </w:rPr>
        <w:t>和</w:t>
      </w:r>
      <w:r>
        <w:rPr>
          <w:rFonts w:hint="default" w:ascii="宋体" w:hAnsi="宋体" w:eastAsia="宋体" w:cs="宋体"/>
          <w:bCs/>
          <w:sz w:val="24"/>
          <w:szCs w:val="24"/>
          <w:lang w:val="en-US" w:eastAsia="zh-CN"/>
        </w:rPr>
        <w:t>云溪区“庆七一” 现代京剧演唱会</w:t>
      </w:r>
      <w:r>
        <w:rPr>
          <w:rFonts w:hint="eastAsia" w:ascii="宋体" w:hAnsi="宋体" w:eastAsia="宋体" w:cs="宋体"/>
          <w:bCs/>
          <w:sz w:val="24"/>
          <w:szCs w:val="24"/>
          <w:lang w:val="en-US" w:eastAsia="zh-CN"/>
        </w:rPr>
        <w:t>、云溪区科技文化卫生“三下乡”文艺演出</w:t>
      </w:r>
      <w:r>
        <w:rPr>
          <w:rFonts w:hint="default" w:ascii="宋体" w:hAnsi="宋体" w:eastAsia="宋体" w:cs="宋体"/>
          <w:bCs/>
          <w:sz w:val="24"/>
          <w:szCs w:val="24"/>
          <w:lang w:val="en-US" w:eastAsia="zh-CN"/>
        </w:rPr>
        <w:t>等相关主题活动。精心组织举办各种大型主题文化活动、文艺演出、一元剧场、送</w:t>
      </w:r>
      <w:r>
        <w:rPr>
          <w:rFonts w:hint="eastAsia" w:ascii="宋体" w:hAnsi="宋体" w:eastAsia="宋体" w:cs="宋体"/>
          <w:bCs/>
          <w:sz w:val="24"/>
          <w:szCs w:val="24"/>
          <w:lang w:val="en-US" w:eastAsia="zh-CN"/>
        </w:rPr>
        <w:t>戏</w:t>
      </w:r>
      <w:r>
        <w:rPr>
          <w:rFonts w:hint="default" w:ascii="宋体" w:hAnsi="宋体" w:eastAsia="宋体" w:cs="宋体"/>
          <w:bCs/>
          <w:sz w:val="24"/>
          <w:szCs w:val="24"/>
          <w:lang w:val="en-US" w:eastAsia="zh-CN"/>
        </w:rPr>
        <w:t>下乡活动</w:t>
      </w:r>
      <w:r>
        <w:rPr>
          <w:rFonts w:hint="eastAsia" w:ascii="宋体" w:hAnsi="宋体" w:eastAsia="宋体" w:cs="宋体"/>
          <w:bCs/>
          <w:sz w:val="24"/>
          <w:szCs w:val="24"/>
          <w:lang w:val="en-US" w:eastAsia="zh-CN"/>
        </w:rPr>
        <w:t>、</w:t>
      </w:r>
      <w:r>
        <w:rPr>
          <w:rFonts w:hint="default" w:ascii="宋体" w:hAnsi="宋体" w:eastAsia="宋体" w:cs="宋体"/>
          <w:bCs/>
          <w:sz w:val="24"/>
          <w:szCs w:val="24"/>
          <w:lang w:val="en-US" w:eastAsia="zh-CN"/>
        </w:rPr>
        <w:t>培训、公益讲座、主题展览共</w:t>
      </w:r>
      <w:r>
        <w:rPr>
          <w:rFonts w:hint="eastAsia" w:ascii="宋体" w:hAnsi="宋体" w:eastAsia="宋体" w:cs="宋体"/>
          <w:bCs/>
          <w:sz w:val="24"/>
          <w:szCs w:val="24"/>
          <w:lang w:val="en-US" w:eastAsia="zh-CN"/>
        </w:rPr>
        <w:t>75</w:t>
      </w:r>
      <w:r>
        <w:rPr>
          <w:rFonts w:hint="default" w:ascii="宋体" w:hAnsi="宋体" w:eastAsia="宋体" w:cs="宋体"/>
          <w:bCs/>
          <w:sz w:val="24"/>
          <w:szCs w:val="24"/>
          <w:lang w:val="en-US" w:eastAsia="zh-CN"/>
        </w:rPr>
        <w:t>场次，参与演员、受益群众</w:t>
      </w:r>
      <w:r>
        <w:rPr>
          <w:rFonts w:hint="eastAsia" w:ascii="宋体" w:hAnsi="宋体" w:eastAsia="宋体" w:cs="宋体"/>
          <w:bCs/>
          <w:sz w:val="24"/>
          <w:szCs w:val="24"/>
          <w:lang w:val="en-US" w:eastAsia="zh-CN"/>
        </w:rPr>
        <w:t xml:space="preserve"> 227513</w:t>
      </w:r>
      <w:r>
        <w:rPr>
          <w:rFonts w:hint="default" w:ascii="宋体" w:hAnsi="宋体" w:eastAsia="宋体" w:cs="宋体"/>
          <w:bCs/>
          <w:sz w:val="24"/>
          <w:szCs w:val="24"/>
          <w:lang w:val="en-US" w:eastAsia="zh-CN"/>
        </w:rPr>
        <w:t>人次</w:t>
      </w:r>
      <w:r>
        <w:rPr>
          <w:rFonts w:hint="eastAsia" w:ascii="宋体" w:hAnsi="宋体" w:eastAsia="宋体" w:cs="宋体"/>
          <w:bCs/>
          <w:sz w:val="24"/>
          <w:szCs w:val="24"/>
          <w:lang w:val="en-US" w:eastAsia="zh-CN"/>
        </w:rPr>
        <w:t>。</w:t>
      </w:r>
    </w:p>
    <w:p w14:paraId="48680A91">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 w:eastAsia="zh-CN"/>
        </w:rPr>
      </w:pPr>
      <w:r>
        <w:rPr>
          <w:rFonts w:hint="eastAsia" w:ascii="宋体" w:hAnsi="宋体" w:eastAsia="宋体" w:cs="宋体"/>
          <w:b/>
          <w:bCs w:val="0"/>
          <w:sz w:val="24"/>
          <w:szCs w:val="24"/>
          <w:lang w:val="en" w:eastAsia="zh-CN"/>
        </w:rPr>
        <w:t>群众文化活动</w:t>
      </w:r>
      <w:r>
        <w:rPr>
          <w:rFonts w:hint="eastAsia" w:ascii="宋体" w:hAnsi="宋体" w:eastAsia="宋体" w:cs="宋体"/>
          <w:b/>
          <w:bCs w:val="0"/>
          <w:sz w:val="24"/>
          <w:szCs w:val="24"/>
          <w:lang w:val="en-US" w:eastAsia="zh-CN"/>
        </w:rPr>
        <w:t>有序开展</w:t>
      </w:r>
    </w:p>
    <w:p w14:paraId="3E76F1AF">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1、全年完成“一元剧场”文化惠民活动12场次、“公共文化进村入户·戏曲进乡村”活动20场次，圆满完成演出任务。</w:t>
      </w:r>
    </w:p>
    <w:p w14:paraId="4F369B54">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2、2024年元旦春节期间，我馆组织开展</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赏年画</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过大年</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、“视频直播家乡年”、“2024灯火里的云溪·传统民俗闹新春”活动。组织书画家为群众写对联、送福字、画年画，弘扬年文化、福文化，带给群众美的体验、美的享受。</w:t>
      </w:r>
    </w:p>
    <w:p w14:paraId="36C054D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月21日，正月十二，开展“灯火云溪·民俗闹新春”民俗大游行启动仪式，完成启动仪式主持词。本次游行共集结9个表演方阵，千人民俗大巡游，秧歌腰鼓，花灯竹马，玩龙舞狮，动漫机甲等60多个云溪特色的民俗轮番上演，规模空前，全程嗨翻，让人意犹未。游行方阵亮点纷呈，民俗展演年味十足。活动自2024年2月8日至24日开展以来，截止正月十五晚24点，参与灯谜竞赛答题、心语心愿祝福、迎春灯会、灯谜会、美食嘉年华、民俗大游行等活动累计接待游客、群众10万余人次，有效营造了全民参与、全民乐享的新春氛围。</w:t>
      </w:r>
    </w:p>
    <w:p w14:paraId="15F74F5F">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4、3月6日，以雷锋精神为引领，全面贯彻党的二十大精神，围绕“到群众最需要的地方去”文旅志愿服务学雷锋月六进系列活动这一鲜明主题，</w:t>
      </w:r>
      <w:r>
        <w:rPr>
          <w:rFonts w:hint="default" w:ascii="宋体" w:hAnsi="宋体" w:eastAsia="宋体" w:cs="宋体"/>
          <w:bCs/>
          <w:sz w:val="24"/>
          <w:szCs w:val="24"/>
          <w:lang w:val="en-US" w:eastAsia="zh-CN"/>
        </w:rPr>
        <w:t>在湖南岳阳绿色化工高新技术产业开发区长炼片区</w:t>
      </w:r>
      <w:r>
        <w:rPr>
          <w:rFonts w:hint="eastAsia" w:ascii="宋体" w:hAnsi="宋体" w:eastAsia="宋体" w:cs="宋体"/>
          <w:bCs/>
          <w:sz w:val="24"/>
          <w:szCs w:val="24"/>
          <w:lang w:val="en-US" w:eastAsia="zh-CN"/>
        </w:rPr>
        <w:t>开展了</w:t>
      </w:r>
      <w:r>
        <w:rPr>
          <w:rFonts w:hint="default" w:ascii="宋体" w:hAnsi="宋体" w:eastAsia="宋体" w:cs="宋体"/>
          <w:bCs/>
          <w:sz w:val="24"/>
          <w:szCs w:val="24"/>
          <w:lang w:val="en-US" w:eastAsia="zh-CN"/>
        </w:rPr>
        <w:t>“到群众最需要的地方去”“涵养时代匠心”——云溪学雷锋文旅志愿服务进企业活动</w:t>
      </w:r>
      <w:r>
        <w:rPr>
          <w:rFonts w:hint="eastAsia" w:ascii="宋体" w:hAnsi="宋体" w:eastAsia="宋体" w:cs="宋体"/>
          <w:bCs/>
          <w:sz w:val="24"/>
          <w:szCs w:val="24"/>
          <w:lang w:val="en-US" w:eastAsia="zh-CN"/>
        </w:rPr>
        <w:t>，宣传贯彻党的二十大和弘扬雷锋精神,为的是给工人群体打造一场文化盛宴。其中青年志愿者们特意为企业工人演唱的歌曲《我们的祖国歌甜花香》、《我为祖国献石油》、《时代号子》、《咱们工人有力量》展现了工人勤劳勇敢、自强不息的精神风貌，在现场掀起了一阵高潮，赢得了观众热烈的掌声。除了中心舞台上的精彩表演以外，当天在活动现场还设置了文旅志愿服务展示区，280余名文化旅游志愿者开展专业贴心的文旅志愿服务，为云溪学雷锋文旅志愿服务进企业活动增添了更多亮色，受到企业工人和周边群众的热情夸赞。</w:t>
      </w:r>
    </w:p>
    <w:p w14:paraId="1826472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3月16日，在云溪街道双清综合田园体开展了“洞庭渔火季·春之约”2024第二届樱花节暨云溪区“春季村晚”文艺汇演。本次活动以花为媒，以节圈粉，围绕“岳阳洞庭渔火季”以及“庆祝建区四十周年”、“到群众最需要的地方去”、非遗“六进”宣传展示展演活动等主题开启文旅志愿服务新年之旅，形成洞庭渔火季＂春之约＂2024云溪区樱花节暨云溪区“春季村晚”的热烈氛围。</w:t>
      </w:r>
    </w:p>
    <w:p w14:paraId="57DF12A8">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5月22日至5月28日云溪区文化馆于围绕“文化馆：人民的终身美育学校”主题开展了一系列文化馆服务宣传周活动，活动组织策划了一元剧场、花鼓戏惠民演出、走进消防、养老院慰问演出、公益讲座、培训等活动形式，涉及范围广，参与人员多，极大地活跃了社区乡村文艺舞台，进一步丰富了当地居民群众文化生活。</w:t>
      </w:r>
    </w:p>
    <w:p w14:paraId="5F0A197C">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7、与湖南经视合作严把质量关，4月30日在区一中心成功举办了“云溪区招商引资暨建区四十周年成果汇报大会”，创作的故事情景剧《大美云溪等你来》，鼓舞人心、振奋力量，赢得阵阵喝彩。</w:t>
      </w:r>
    </w:p>
    <w:p w14:paraId="447DB95D">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8、5月17日在区文化活动中心开展云溪区清廉文化进机关（社区）花鼓戏专场。</w:t>
      </w:r>
    </w:p>
    <w:p w14:paraId="59D33AE4">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6月12日，在云溪街道建设村开展云溪区2024年文化科技卫生“三下乡”集中示范活动。精彩的文艺演出轮番上演，时尚秀《马面裙秀》，舞蹈《又见江南雨》，歌曲《党旗飘扬的方向》，台上精彩节目不断台下观众掌声连连。活动现场还设置了文化惠民书法展示区，把舞台搭在村民“家门口”，把服务送到群众“心坎上”，真正让文化根植沃土让科技赋能乡村，让卫生惠及民生。</w:t>
      </w:r>
    </w:p>
    <w:p w14:paraId="725D974E">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10、6月27日晚在区文化活动中心开展云溪区“庆七一” 现代京剧演唱会。音乐会以隆重庆祝中国共产党成立103周年暨云溪建区40周年营造浓厚氛围为主题，追忆艰苦革命岁月，体现新时代精神，弘扬社会主义核心价值观。管弦与交响齐鸣，完美演绎了新时代文艺思想，彰显了文化自信。此次演出让现场观众深刻感受到了中华文化的博大精深和京剧艺术的独特魅力，激发了大家对传统文化的热爱和传承意识。</w:t>
      </w:r>
    </w:p>
    <w:p w14:paraId="64C76EED">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11、组织岳化老年学校赴市参加“欢乐潇湘·歌唱祖国”群众歌咏活动。</w:t>
      </w:r>
    </w:p>
    <w:p w14:paraId="53E9C518">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做好乡镇文化站评估定级工作。</w:t>
      </w:r>
    </w:p>
    <w:p w14:paraId="259F0985">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验收并汇总所有评估数据结果，形成文字总结报告，文化馆积极配合组织开展评估定级有关业务指导，确保了我区评估定级工作的顺利开展。各镇（街道）综合文化站在区政府有力领导下，在区文化主管部门的指导支持下，艰苦努力，务实工作，在设施建设、队伍建设、职能发挥、特色做法等各方面已上了一个新的台阶。通过自评、复评和实地查看各站评估情况后，我区5个镇（街道）综合文化站总得分数在850分以上，</w:t>
      </w:r>
      <w:r>
        <w:rPr>
          <w:rFonts w:hint="default" w:ascii="宋体" w:hAnsi="宋体" w:eastAsia="宋体" w:cs="宋体"/>
          <w:bCs/>
          <w:sz w:val="24"/>
          <w:szCs w:val="24"/>
          <w:lang w:val="en-US" w:eastAsia="zh-CN"/>
        </w:rPr>
        <w:t>各项指标</w:t>
      </w:r>
      <w:r>
        <w:rPr>
          <w:rFonts w:hint="eastAsia" w:ascii="宋体" w:hAnsi="宋体" w:eastAsia="宋体" w:cs="宋体"/>
          <w:bCs/>
          <w:sz w:val="24"/>
          <w:szCs w:val="24"/>
          <w:lang w:val="en-US" w:eastAsia="zh-CN"/>
        </w:rPr>
        <w:t>全部</w:t>
      </w:r>
      <w:r>
        <w:rPr>
          <w:rFonts w:hint="default" w:ascii="宋体" w:hAnsi="宋体" w:eastAsia="宋体" w:cs="宋体"/>
          <w:bCs/>
          <w:sz w:val="24"/>
          <w:szCs w:val="24"/>
          <w:lang w:val="en-US" w:eastAsia="zh-CN"/>
        </w:rPr>
        <w:t>达标，</w:t>
      </w:r>
      <w:r>
        <w:rPr>
          <w:rFonts w:hint="eastAsia" w:ascii="宋体" w:hAnsi="宋体" w:eastAsia="宋体" w:cs="宋体"/>
          <w:bCs/>
          <w:sz w:val="24"/>
          <w:szCs w:val="24"/>
          <w:lang w:val="en-US" w:eastAsia="zh-CN"/>
        </w:rPr>
        <w:t>符合二级文化站的</w:t>
      </w:r>
      <w:r>
        <w:rPr>
          <w:rFonts w:hint="default" w:ascii="宋体" w:hAnsi="宋体" w:eastAsia="宋体" w:cs="宋体"/>
          <w:bCs/>
          <w:sz w:val="24"/>
          <w:szCs w:val="24"/>
          <w:lang w:val="en-US" w:eastAsia="zh-CN"/>
        </w:rPr>
        <w:t>等级</w:t>
      </w:r>
      <w:r>
        <w:rPr>
          <w:rFonts w:hint="eastAsia" w:ascii="宋体" w:hAnsi="宋体" w:eastAsia="宋体" w:cs="宋体"/>
          <w:bCs/>
          <w:sz w:val="24"/>
          <w:szCs w:val="24"/>
          <w:lang w:val="en-US" w:eastAsia="zh-CN"/>
        </w:rPr>
        <w:t>标准。</w:t>
      </w:r>
    </w:p>
    <w:p w14:paraId="002E656C">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群文辅导、培训有效开展</w:t>
      </w:r>
    </w:p>
    <w:p w14:paraId="5847BE49">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1、文艺辅导培训</w:t>
      </w:r>
    </w:p>
    <w:p w14:paraId="7DAE6B27">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在“灯火里的云溪·传统民俗闹新春”民俗大游行各协会方阵表演活动中，朱馆长、谢馆长经常下到各镇街道对民俗大游行节目展演活动进行策划和指导。1月28日由云溪区文旅广电局选送的长岭街道洞庭社区芙蓉舞蹈队带来的《喜事登门》在湖南省岳阳市奥体中心隆重上演。节目围绕幸福团圆主题，以乐观、积极、向上的情绪将晚会推向高潮。区文旅广电局在此次全国社区春晚海选、总决赛一路给予了长岭街道洞庭社区芙蓉舞蹈队人力物力上的大力支持，文化馆朱志华同志多次进行艺术指导和帮助。通过社区春晚这一全国性文艺舞台，我们共同见证了云溪社区文化的发展与繁荣。 文化馆联合区排舞广场舞协会、区舞协在排舞广场舞协会活动室、云溪广场和区老干活动室分别开展了鼓舞、藏舞、交谊舞、旗袍表演、形体舞蹈公益等各类培训班12场，培训人次达8千余人。现场由郭慧娴、琼文、谢老师授课，注重团队成员的相互学习、交流以及展示，现场气氛活跃。</w:t>
      </w:r>
    </w:p>
    <w:p w14:paraId="3F6BB88F">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非物质文化遗产活动有序开展</w:t>
      </w:r>
    </w:p>
    <w:p w14:paraId="4E140BCC">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为进一步加强我区非物质文化遗产项目保护传承工作，开展形式多样的《中华人民共和国非物质文化遗产保护法》宣传活动，通过发放宣传单、播放条例、展板展示等方式，增强群众对非遗保护重要性的认识，提高其积极性和主动性。云溪区</w:t>
      </w:r>
      <w:r>
        <w:rPr>
          <w:rFonts w:hint="eastAsia" w:ascii="宋体" w:hAnsi="宋体" w:eastAsia="宋体" w:cs="宋体"/>
          <w:bCs/>
          <w:sz w:val="24"/>
          <w:szCs w:val="24"/>
          <w:lang w:val="en" w:eastAsia="zh-CN"/>
        </w:rPr>
        <w:t>认真贯彻落实非遗保护的各项法规政策，坚持保护为主、合理利用、传承发展的工作方针，进一步强化保护主体责任，以创新推进传承与传播为目标。</w:t>
      </w:r>
      <w:r>
        <w:rPr>
          <w:rFonts w:hint="eastAsia" w:ascii="宋体" w:hAnsi="宋体" w:eastAsia="宋体" w:cs="宋体"/>
          <w:bCs/>
          <w:sz w:val="24"/>
          <w:szCs w:val="24"/>
          <w:lang w:val="en-US" w:eastAsia="zh-CN"/>
        </w:rPr>
        <w:t>文化馆累计开展非遗展宣传展示展演活动共计5场，通过组织开展非遗保护法律法规、非遗保护知识、非遗代表性项目、非遗代表性传承人 进校园、进景区、进社区、进乡村、进机关、进企业等多姿多彩的非遗展示展演活动，向公众宣传普及非遗知识，让非遗真正融入老百姓的日常生活，进而欣赏、喜爱、 体验和参与非遗传承，营造全区共同保护非遗的良好氛围。</w:t>
      </w:r>
      <w:bookmarkStart w:id="1" w:name="_GoBack"/>
      <w:bookmarkEnd w:id="1"/>
    </w:p>
    <w:p w14:paraId="63726599">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艺术创作新品不断</w:t>
      </w:r>
    </w:p>
    <w:p w14:paraId="272971D4">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2024是中华人民共和国成立75周年以及云溪区建区四十年的一个重要时间节点，为营造浓厚的喜庆氛围，丰富广大人民群众精神文化活动，围绕“云溪区招商引资暨四四十年高质量发展成果汇报会”，站在云溪的现在、过去、将来、创作了《大美云溪入画来》大型情景歌舞剧，</w:t>
      </w:r>
      <w:r>
        <w:rPr>
          <w:rFonts w:hint="eastAsia" w:ascii="宋体" w:hAnsi="宋体" w:eastAsia="宋体" w:cs="宋体"/>
          <w:bCs/>
          <w:sz w:val="24"/>
          <w:szCs w:val="24"/>
          <w:lang w:val="en-US" w:eastAsia="zh"/>
        </w:rPr>
        <w:t>情景歌舞剧《大美云溪入画来》演出时长约为50分钟，以一个</w:t>
      </w:r>
      <w:r>
        <w:rPr>
          <w:rFonts w:hint="eastAsia" w:ascii="宋体" w:hAnsi="宋体" w:eastAsia="宋体" w:cs="宋体"/>
          <w:bCs/>
          <w:sz w:val="24"/>
          <w:szCs w:val="24"/>
          <w:lang w:val="en-US" w:eastAsia="zh-CN"/>
        </w:rPr>
        <w:t>中学生</w:t>
      </w:r>
      <w:r>
        <w:rPr>
          <w:rFonts w:hint="eastAsia" w:ascii="宋体" w:hAnsi="宋体" w:eastAsia="宋体" w:cs="宋体"/>
          <w:bCs/>
          <w:sz w:val="24"/>
          <w:szCs w:val="24"/>
          <w:lang w:val="en-US" w:eastAsia="zh"/>
        </w:rPr>
        <w:t>的视角，</w:t>
      </w:r>
      <w:r>
        <w:rPr>
          <w:rFonts w:hint="eastAsia" w:ascii="宋体" w:hAnsi="宋体" w:eastAsia="宋体" w:cs="宋体"/>
          <w:bCs/>
          <w:sz w:val="24"/>
          <w:szCs w:val="24"/>
          <w:lang w:val="en-US" w:eastAsia="zh-CN"/>
        </w:rPr>
        <w:t>加入古今对话手法，通过</w:t>
      </w:r>
      <w:r>
        <w:rPr>
          <w:rFonts w:hint="eastAsia" w:ascii="宋体" w:hAnsi="宋体" w:eastAsia="宋体" w:cs="宋体"/>
          <w:bCs/>
          <w:sz w:val="24"/>
          <w:szCs w:val="24"/>
          <w:lang w:val="en-US" w:eastAsia="zh"/>
        </w:rPr>
        <w:t>一本厚厚的相册翻开云溪区璀璨的历史、闪耀的现在、绚烂的未来。以三千多年前殷商青铜器皿留下文明印记为源起，编织</w:t>
      </w:r>
      <w:r>
        <w:rPr>
          <w:rFonts w:hint="eastAsia" w:ascii="宋体" w:hAnsi="宋体" w:eastAsia="宋体" w:cs="宋体"/>
          <w:bCs/>
          <w:sz w:val="24"/>
          <w:szCs w:val="24"/>
          <w:lang w:val="en-US" w:eastAsia="zh-CN"/>
        </w:rPr>
        <w:t>出</w:t>
      </w:r>
      <w:r>
        <w:rPr>
          <w:rFonts w:hint="eastAsia" w:ascii="宋体" w:hAnsi="宋体" w:eastAsia="宋体" w:cs="宋体"/>
          <w:bCs/>
          <w:sz w:val="24"/>
          <w:szCs w:val="24"/>
          <w:lang w:val="en-US" w:eastAsia="zh"/>
        </w:rPr>
        <w:t>“序+四幕”</w:t>
      </w:r>
      <w:r>
        <w:rPr>
          <w:rFonts w:hint="eastAsia" w:ascii="宋体" w:hAnsi="宋体" w:eastAsia="宋体" w:cs="宋体"/>
          <w:bCs/>
          <w:sz w:val="24"/>
          <w:szCs w:val="24"/>
          <w:lang w:val="en-US" w:eastAsia="zh-CN"/>
        </w:rPr>
        <w:t>共5段演绎内容。借此我们将推出原创主题曲《四十不惑》。围绕中华人民共和国成立75周年这一要主题，依托相关主题活动积极开展创作，包括朗诵、舞蹈、歌曲、戏剧等相关作品，突出主旋律，弘扬红色经典。</w:t>
      </w:r>
    </w:p>
    <w:p w14:paraId="1F3FE0A9">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原创演讲作品《文化进社区，普法润民心》获得岳阳市第四届“诗与远方·与法同行”演讲比赛三等奖。</w:t>
      </w:r>
    </w:p>
    <w:p w14:paraId="1A1863FD">
      <w:pPr>
        <w:pStyle w:val="1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14:paraId="7AAA748A">
      <w:pPr>
        <w:pStyle w:val="17"/>
        <w:numPr>
          <w:ilvl w:val="0"/>
          <w:numId w:val="0"/>
        </w:numPr>
        <w:autoSpaceDN w:val="0"/>
        <w:spacing w:line="580" w:lineRule="exact"/>
        <w:ind w:firstLine="480" w:firstLineChars="20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2024年我单位无预算支出执行偏离绩效目标的情况。</w:t>
      </w:r>
    </w:p>
    <w:p w14:paraId="59964B1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eastAsia="zh-CN"/>
        </w:rPr>
        <w:t>八、</w:t>
      </w:r>
      <w:r>
        <w:rPr>
          <w:rFonts w:hint="eastAsia" w:ascii="黑体" w:hAnsi="黑体" w:eastAsia="黑体" w:cs="黑体"/>
          <w:sz w:val="24"/>
          <w:szCs w:val="24"/>
        </w:rPr>
        <w:t>下一步改进措施</w:t>
      </w:r>
    </w:p>
    <w:p w14:paraId="25FE884E">
      <w:pPr>
        <w:ind w:firstLine="210" w:firstLineChars="100"/>
        <w:rPr>
          <w:rFonts w:hint="eastAsia"/>
        </w:rPr>
      </w:pPr>
      <w:r>
        <w:rPr>
          <w:rFonts w:hint="eastAsia"/>
          <w:lang w:val="en-US" w:eastAsia="zh-CN"/>
        </w:rPr>
        <w:t>无。</w:t>
      </w:r>
    </w:p>
    <w:p w14:paraId="631EB59A">
      <w:pPr>
        <w:keepNext w:val="0"/>
        <w:keepLines w:val="0"/>
        <w:pageBreakBefore w:val="0"/>
        <w:numPr>
          <w:numId w:val="0"/>
        </w:numPr>
        <w:overflowPunct/>
        <w:topLinePunct w:val="0"/>
        <w:bidi w:val="0"/>
        <w:spacing w:line="560" w:lineRule="exact"/>
        <w:ind w:firstLine="240" w:firstLineChars="100"/>
        <w:rPr>
          <w:rFonts w:hint="eastAsia"/>
        </w:rPr>
      </w:pPr>
      <w:r>
        <w:rPr>
          <w:rFonts w:hint="eastAsia" w:ascii="黑体" w:hAnsi="黑体" w:eastAsia="黑体" w:cs="黑体"/>
          <w:sz w:val="24"/>
          <w:szCs w:val="24"/>
          <w:lang w:eastAsia="zh-CN"/>
        </w:rPr>
        <w:t>九、</w:t>
      </w:r>
      <w:r>
        <w:rPr>
          <w:rFonts w:hint="eastAsia" w:ascii="黑体" w:hAnsi="黑体" w:eastAsia="黑体" w:cs="黑体"/>
          <w:sz w:val="24"/>
          <w:szCs w:val="24"/>
        </w:rPr>
        <w:t>其他需要说明的情况</w:t>
      </w:r>
    </w:p>
    <w:p w14:paraId="5868B20D">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3EE1D098">
      <w:pPr>
        <w:keepNext w:val="0"/>
        <w:keepLines w:val="0"/>
        <w:pageBreakBefore w:val="0"/>
        <w:overflowPunct/>
        <w:topLinePunct w:val="0"/>
        <w:bidi w:val="0"/>
        <w:spacing w:line="560" w:lineRule="exact"/>
        <w:rPr>
          <w:rFonts w:ascii="Arial"/>
          <w:spacing w:val="0"/>
          <w:sz w:val="21"/>
        </w:rPr>
      </w:pPr>
    </w:p>
    <w:p w14:paraId="75E4301F">
      <w:pPr>
        <w:keepNext w:val="0"/>
        <w:keepLines w:val="0"/>
        <w:pageBreakBefore w:val="0"/>
        <w:widowControl/>
        <w:wordWrap/>
        <w:overflowPunct/>
        <w:topLinePunct w:val="0"/>
        <w:autoSpaceDN w:val="0"/>
        <w:bidi w:val="0"/>
        <w:adjustRightInd w:val="0"/>
        <w:snapToGrid w:val="0"/>
        <w:spacing w:line="560" w:lineRule="exact"/>
        <w:textAlignment w:val="baseline"/>
        <w:rPr>
          <w:rFonts w:hint="eastAsia" w:ascii="仿宋" w:hAnsi="仿宋" w:eastAsia="仿宋" w:cs="仿宋"/>
          <w:spacing w:val="0"/>
          <w:sz w:val="32"/>
          <w:szCs w:val="32"/>
        </w:rPr>
      </w:pPr>
    </w:p>
    <w:sectPr>
      <w:footerReference r:id="rId6" w:type="default"/>
      <w:pgSz w:w="11900" w:h="16833"/>
      <w:pgMar w:top="1430" w:right="1657" w:bottom="1445" w:left="158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FA8D0C3-9BAD-4DDA-B636-23089E3AEFEC}"/>
  </w:font>
  <w:font w:name="黑体">
    <w:panose1 w:val="02010609060101010101"/>
    <w:charset w:val="86"/>
    <w:family w:val="auto"/>
    <w:pitch w:val="default"/>
    <w:sig w:usb0="800002BF" w:usb1="38CF7CFA" w:usb2="00000016" w:usb3="00000000" w:csb0="00040001" w:csb1="00000000"/>
    <w:embedRegular r:id="rId2" w:fontKey="{7B529C85-9903-47A1-AFE0-89F48686EB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B9541089-CBC6-46E1-9372-ABFE22C3B174}"/>
  </w:font>
  <w:font w:name="微软雅黑">
    <w:panose1 w:val="020B0503020204020204"/>
    <w:charset w:val="86"/>
    <w:family w:val="auto"/>
    <w:pitch w:val="default"/>
    <w:sig w:usb0="80000287" w:usb1="280F3C52" w:usb2="00000016" w:usb3="00000000" w:csb0="0004001F" w:csb1="00000000"/>
    <w:embedRegular r:id="rId4" w:fontKey="{E1DF564E-D2C7-44CF-BDC7-239881EC363D}"/>
  </w:font>
  <w:font w:name="楷体">
    <w:panose1 w:val="02010609060101010101"/>
    <w:charset w:val="86"/>
    <w:family w:val="auto"/>
    <w:pitch w:val="default"/>
    <w:sig w:usb0="800002BF" w:usb1="38CF7CFA" w:usb2="00000016" w:usb3="00000000" w:csb0="00040001" w:csb1="00000000"/>
    <w:embedRegular r:id="rId5" w:fontKey="{35E096C6-694F-498D-94BD-7446A92EF79D}"/>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2E04">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4237F">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B4237F">
                    <w:pPr>
                      <w:pStyle w:val="5"/>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746F">
    <w:pPr>
      <w:pStyle w:val="3"/>
      <w:spacing w:before="1" w:line="174" w:lineRule="auto"/>
      <w:ind w:left="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BF226">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4BF226">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606E"/>
    <w:multiLevelType w:val="singleLevel"/>
    <w:tmpl w:val="A7FF60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VlMmU3NmE5YmMzZDVhY2ViNzE3Y2E1MjIxYjI5OTAifQ=="/>
  </w:docVars>
  <w:rsids>
    <w:rsidRoot w:val="00000000"/>
    <w:rsid w:val="00A858BD"/>
    <w:rsid w:val="011D2710"/>
    <w:rsid w:val="02062C6E"/>
    <w:rsid w:val="02641C78"/>
    <w:rsid w:val="042803FD"/>
    <w:rsid w:val="04C10F55"/>
    <w:rsid w:val="05D80FC6"/>
    <w:rsid w:val="06F9565C"/>
    <w:rsid w:val="07430F64"/>
    <w:rsid w:val="07B6268B"/>
    <w:rsid w:val="07C136C9"/>
    <w:rsid w:val="07E313DB"/>
    <w:rsid w:val="08271494"/>
    <w:rsid w:val="089805D5"/>
    <w:rsid w:val="08B02EEB"/>
    <w:rsid w:val="09382467"/>
    <w:rsid w:val="09C22A26"/>
    <w:rsid w:val="0A173A74"/>
    <w:rsid w:val="0A460AAE"/>
    <w:rsid w:val="0B957346"/>
    <w:rsid w:val="0BEA7692"/>
    <w:rsid w:val="0C1E4676"/>
    <w:rsid w:val="0C6C30D3"/>
    <w:rsid w:val="0DD43A3C"/>
    <w:rsid w:val="0DE27833"/>
    <w:rsid w:val="0E4F198B"/>
    <w:rsid w:val="101F5F6E"/>
    <w:rsid w:val="113901B9"/>
    <w:rsid w:val="13B41486"/>
    <w:rsid w:val="148B307B"/>
    <w:rsid w:val="15DA1475"/>
    <w:rsid w:val="1655109A"/>
    <w:rsid w:val="17914E66"/>
    <w:rsid w:val="17C87BF8"/>
    <w:rsid w:val="185806D4"/>
    <w:rsid w:val="1A565A3B"/>
    <w:rsid w:val="1A5760D9"/>
    <w:rsid w:val="1A602B0E"/>
    <w:rsid w:val="1A673374"/>
    <w:rsid w:val="1A6B4094"/>
    <w:rsid w:val="1C8D2DDE"/>
    <w:rsid w:val="1CA1755B"/>
    <w:rsid w:val="1CD80B8E"/>
    <w:rsid w:val="1DAB08FD"/>
    <w:rsid w:val="1DD41F50"/>
    <w:rsid w:val="1EB268D8"/>
    <w:rsid w:val="1F861224"/>
    <w:rsid w:val="201C7C2D"/>
    <w:rsid w:val="20432151"/>
    <w:rsid w:val="219426BC"/>
    <w:rsid w:val="22361730"/>
    <w:rsid w:val="241B705C"/>
    <w:rsid w:val="241F1A4B"/>
    <w:rsid w:val="25F501E4"/>
    <w:rsid w:val="263B7010"/>
    <w:rsid w:val="277F0D47"/>
    <w:rsid w:val="278E3554"/>
    <w:rsid w:val="28060A37"/>
    <w:rsid w:val="28645DC7"/>
    <w:rsid w:val="29183639"/>
    <w:rsid w:val="29920858"/>
    <w:rsid w:val="2A0A0391"/>
    <w:rsid w:val="2A1B7116"/>
    <w:rsid w:val="2AD27987"/>
    <w:rsid w:val="2B597F39"/>
    <w:rsid w:val="2C057779"/>
    <w:rsid w:val="2C31056E"/>
    <w:rsid w:val="2C555D5E"/>
    <w:rsid w:val="2C9C2318"/>
    <w:rsid w:val="2CC338BC"/>
    <w:rsid w:val="2CC753BE"/>
    <w:rsid w:val="2CE42D59"/>
    <w:rsid w:val="2F484AA7"/>
    <w:rsid w:val="2F7470EF"/>
    <w:rsid w:val="301234CF"/>
    <w:rsid w:val="31530D40"/>
    <w:rsid w:val="32800B15"/>
    <w:rsid w:val="32E12C1B"/>
    <w:rsid w:val="32E74229"/>
    <w:rsid w:val="34DE68FD"/>
    <w:rsid w:val="35A8233C"/>
    <w:rsid w:val="36A62E0D"/>
    <w:rsid w:val="36D97FDD"/>
    <w:rsid w:val="3727713D"/>
    <w:rsid w:val="381F1BC2"/>
    <w:rsid w:val="38244D74"/>
    <w:rsid w:val="3A130B78"/>
    <w:rsid w:val="3A364AA2"/>
    <w:rsid w:val="3A992100"/>
    <w:rsid w:val="3B7E2D65"/>
    <w:rsid w:val="3BC94324"/>
    <w:rsid w:val="3C601127"/>
    <w:rsid w:val="3D0715A3"/>
    <w:rsid w:val="3D4165B9"/>
    <w:rsid w:val="3DBF1E7D"/>
    <w:rsid w:val="3E045AE2"/>
    <w:rsid w:val="3EF1250A"/>
    <w:rsid w:val="3F3D5750"/>
    <w:rsid w:val="41250249"/>
    <w:rsid w:val="419F0AB2"/>
    <w:rsid w:val="44A57033"/>
    <w:rsid w:val="45507871"/>
    <w:rsid w:val="46CB3641"/>
    <w:rsid w:val="4869695A"/>
    <w:rsid w:val="48D03190"/>
    <w:rsid w:val="49290344"/>
    <w:rsid w:val="498711E0"/>
    <w:rsid w:val="4BD66E26"/>
    <w:rsid w:val="4DF27705"/>
    <w:rsid w:val="4E3E294A"/>
    <w:rsid w:val="4F4E1C3F"/>
    <w:rsid w:val="4FD95020"/>
    <w:rsid w:val="50E05DC9"/>
    <w:rsid w:val="50F90885"/>
    <w:rsid w:val="5144296E"/>
    <w:rsid w:val="51DD247A"/>
    <w:rsid w:val="52990A97"/>
    <w:rsid w:val="52BF5135"/>
    <w:rsid w:val="53BE1EF3"/>
    <w:rsid w:val="53E10656"/>
    <w:rsid w:val="54AB2D04"/>
    <w:rsid w:val="55067F3A"/>
    <w:rsid w:val="5510217D"/>
    <w:rsid w:val="561D19DF"/>
    <w:rsid w:val="56B5458D"/>
    <w:rsid w:val="574C6777"/>
    <w:rsid w:val="578F06BB"/>
    <w:rsid w:val="5805272B"/>
    <w:rsid w:val="586B6F75"/>
    <w:rsid w:val="58DC16DE"/>
    <w:rsid w:val="5A6E0A5B"/>
    <w:rsid w:val="5AA91A93"/>
    <w:rsid w:val="5BDE576D"/>
    <w:rsid w:val="5C35640B"/>
    <w:rsid w:val="5C766531"/>
    <w:rsid w:val="5E421FE3"/>
    <w:rsid w:val="5EA573A1"/>
    <w:rsid w:val="5F724B4A"/>
    <w:rsid w:val="5FDA031C"/>
    <w:rsid w:val="5FF03618"/>
    <w:rsid w:val="61BB5801"/>
    <w:rsid w:val="62230294"/>
    <w:rsid w:val="627A1A44"/>
    <w:rsid w:val="63461508"/>
    <w:rsid w:val="64E94E5B"/>
    <w:rsid w:val="661B0340"/>
    <w:rsid w:val="66F647CD"/>
    <w:rsid w:val="67752C6B"/>
    <w:rsid w:val="69446A6A"/>
    <w:rsid w:val="69755D9C"/>
    <w:rsid w:val="6A794FDE"/>
    <w:rsid w:val="6A97623F"/>
    <w:rsid w:val="6AD14F8F"/>
    <w:rsid w:val="6B3C01C5"/>
    <w:rsid w:val="6CCF2536"/>
    <w:rsid w:val="6D734D23"/>
    <w:rsid w:val="6DAD3E81"/>
    <w:rsid w:val="6E337B9A"/>
    <w:rsid w:val="6F8B7571"/>
    <w:rsid w:val="70476D35"/>
    <w:rsid w:val="71092E34"/>
    <w:rsid w:val="71A843FB"/>
    <w:rsid w:val="728C73A4"/>
    <w:rsid w:val="72A825D0"/>
    <w:rsid w:val="73373C88"/>
    <w:rsid w:val="7480340D"/>
    <w:rsid w:val="748340DC"/>
    <w:rsid w:val="74C3113D"/>
    <w:rsid w:val="75B55338"/>
    <w:rsid w:val="765654F8"/>
    <w:rsid w:val="768561A6"/>
    <w:rsid w:val="778046DE"/>
    <w:rsid w:val="782252F2"/>
    <w:rsid w:val="783C4260"/>
    <w:rsid w:val="7857588B"/>
    <w:rsid w:val="7877331F"/>
    <w:rsid w:val="78CD7F92"/>
    <w:rsid w:val="78E5576C"/>
    <w:rsid w:val="79607369"/>
    <w:rsid w:val="79A11E5C"/>
    <w:rsid w:val="7AD70449"/>
    <w:rsid w:val="7B03025E"/>
    <w:rsid w:val="7B276391"/>
    <w:rsid w:val="7B5F1840"/>
    <w:rsid w:val="7BBE598E"/>
    <w:rsid w:val="7C325917"/>
    <w:rsid w:val="7C684FEE"/>
    <w:rsid w:val="7CE7291C"/>
    <w:rsid w:val="7E43626D"/>
    <w:rsid w:val="7E9B6C19"/>
    <w:rsid w:val="7EEF3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rPr>
      <w:rFonts w:ascii="仿宋_GB2312" w:eastAsia="仿宋_GB2312"/>
      <w:sz w:val="32"/>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2"/>
    <w:qFormat/>
    <w:uiPriority w:val="0"/>
    <w:pPr>
      <w:ind w:firstLine="420" w:firstLineChars="200"/>
    </w:pPr>
    <w:rPr>
      <w:rFonts w:ascii="Times New Roman" w:hAnsi="Times New Roman" w:eastAsia="宋体" w:cs="Times New Roman"/>
    </w:rPr>
  </w:style>
  <w:style w:type="paragraph" w:customStyle="1" w:styleId="12">
    <w:name w:val="_Style 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
    <w:name w:val="BodyText1I"/>
    <w:basedOn w:val="1"/>
    <w:qFormat/>
    <w:uiPriority w:val="99"/>
    <w:pPr>
      <w:snapToGrid w:val="0"/>
      <w:spacing w:line="360" w:lineRule="auto"/>
      <w:ind w:firstLine="420" w:firstLineChars="100"/>
    </w:pPr>
    <w:rPr>
      <w:sz w:val="28"/>
      <w:szCs w:val="2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paragraph" w:styleId="16">
    <w:name w:val="List Paragraph"/>
    <w:basedOn w:val="1"/>
    <w:qFormat/>
    <w:uiPriority w:val="99"/>
    <w:pPr>
      <w:ind w:firstLine="420" w:firstLineChars="200"/>
    </w:pPr>
    <w:rPr>
      <w:rFonts w:ascii="Calibri" w:hAnsi="Calibri" w:eastAsia="宋体" w:cs="Times New Roman"/>
      <w:szCs w:val="22"/>
    </w:rPr>
  </w:style>
  <w:style w:type="paragraph" w:customStyle="1" w:styleId="17">
    <w:name w:val="p0"/>
    <w:basedOn w:val="1"/>
    <w:qFormat/>
    <w:uiPriority w:val="0"/>
    <w:pPr>
      <w:widowControl/>
    </w:pPr>
    <w:rPr>
      <w:kern w:val="0"/>
      <w:szCs w:val="21"/>
    </w:rPr>
  </w:style>
  <w:style w:type="character" w:customStyle="1" w:styleId="18">
    <w:name w:val="NormalCharacter"/>
    <w:qFormat/>
    <w:uiPriority w:val="0"/>
  </w:style>
  <w:style w:type="paragraph" w:customStyle="1" w:styleId="19">
    <w:name w:val="NOTE_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2867</Words>
  <Characters>3042</Characters>
  <TotalTime>2</TotalTime>
  <ScaleCrop>false</ScaleCrop>
  <LinksUpToDate>false</LinksUpToDate>
  <CharactersWithSpaces>3068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黄芳</cp:lastModifiedBy>
  <cp:lastPrinted>2025-05-19T01:38:00Z</cp:lastPrinted>
  <dcterms:modified xsi:type="dcterms:W3CDTF">2025-07-01T02:09:49Z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2052-12.1.0.21541</vt:lpwstr>
  </property>
  <property fmtid="{D5CDD505-2E9C-101B-9397-08002B2CF9AE}" pid="5" name="ICV">
    <vt:lpwstr>B1E86AE84FA24A6EB0AE39662AA5480B_13</vt:lpwstr>
  </property>
  <property fmtid="{D5CDD505-2E9C-101B-9397-08002B2CF9AE}" pid="6" name="KSOTemplateDocerSaveRecord">
    <vt:lpwstr>eyJoZGlkIjoiNDM0YTRkNTZlNTIwMmM4MTg2YjZiNDhiN2IzYmQ3YzYiLCJ1c2VySWQiOiIxMDQyNDg3MjM3In0=</vt:lpwstr>
  </property>
</Properties>
</file>