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E12B">
      <w:pPr>
        <w:keepNext w:val="0"/>
        <w:keepLines w:val="0"/>
        <w:pageBreakBefore w:val="0"/>
        <w:overflowPunct/>
        <w:topLinePunct w:val="0"/>
        <w:bidi w:val="0"/>
        <w:spacing w:line="560" w:lineRule="exact"/>
        <w:rPr>
          <w:rFonts w:hint="default" w:ascii="Arial" w:eastAsia="宋体"/>
          <w:spacing w:val="0"/>
          <w:sz w:val="21"/>
          <w:lang w:val="en-US" w:eastAsia="zh-CN"/>
        </w:rPr>
      </w:pPr>
      <w:bookmarkStart w:id="0" w:name="OLE_LINK4"/>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5</w:t>
      </w:r>
      <w:bookmarkEnd w:id="0"/>
      <w:r>
        <w:rPr>
          <w:rFonts w:hint="eastAsia" w:ascii="Times New Roman" w:hAnsi="Times New Roman" w:eastAsia="宋体" w:cs="Times New Roman"/>
          <w:spacing w:val="0"/>
          <w:sz w:val="31"/>
          <w:szCs w:val="31"/>
          <w:lang w:val="en-US" w:eastAsia="zh-CN"/>
        </w:rPr>
        <w:t>-1</w:t>
      </w:r>
    </w:p>
    <w:p w14:paraId="22F4A30D">
      <w:pPr>
        <w:keepNext w:val="0"/>
        <w:keepLines w:val="0"/>
        <w:pageBreakBefore w:val="0"/>
        <w:overflowPunct/>
        <w:topLinePunct w:val="0"/>
        <w:bidi w:val="0"/>
        <w:spacing w:line="560" w:lineRule="exact"/>
        <w:ind w:left="1384"/>
        <w:rPr>
          <w:rFonts w:ascii="Times New Roman" w:hAnsi="Times New Roman" w:eastAsia="Times New Roman" w:cs="Times New Roman"/>
          <w:spacing w:val="0"/>
          <w:sz w:val="52"/>
          <w:szCs w:val="52"/>
        </w:rPr>
      </w:pPr>
    </w:p>
    <w:p w14:paraId="2D9B8ECB">
      <w:pPr>
        <w:keepNext w:val="0"/>
        <w:keepLines w:val="0"/>
        <w:pageBreakBefore w:val="0"/>
        <w:widowControl/>
        <w:kinsoku w:val="0"/>
        <w:wordWrap/>
        <w:overflowPunct/>
        <w:topLinePunct w:val="0"/>
        <w:autoSpaceDE w:val="0"/>
        <w:autoSpaceDN w:val="0"/>
        <w:bidi w:val="0"/>
        <w:adjustRightInd w:val="0"/>
        <w:snapToGrid w:val="0"/>
        <w:spacing w:line="560" w:lineRule="exact"/>
        <w:ind w:left="1384"/>
        <w:textAlignment w:val="baseline"/>
        <w:rPr>
          <w:rFonts w:hint="eastAsia" w:ascii="黑体" w:hAnsi="黑体" w:eastAsia="黑体" w:cs="黑体"/>
          <w:spacing w:val="0"/>
          <w:sz w:val="52"/>
          <w:szCs w:val="52"/>
        </w:rPr>
      </w:pPr>
      <w:r>
        <w:rPr>
          <w:rFonts w:hint="eastAsia" w:ascii="黑体" w:hAnsi="黑体" w:eastAsia="黑体" w:cs="黑体"/>
          <w:spacing w:val="0"/>
          <w:sz w:val="52"/>
          <w:szCs w:val="52"/>
        </w:rPr>
        <w:t>202</w:t>
      </w:r>
      <w:r>
        <w:rPr>
          <w:rFonts w:hint="eastAsia" w:ascii="黑体" w:hAnsi="黑体" w:eastAsia="黑体" w:cs="黑体"/>
          <w:spacing w:val="0"/>
          <w:sz w:val="52"/>
          <w:szCs w:val="52"/>
          <w:lang w:val="en-US" w:eastAsia="zh-CN"/>
        </w:rPr>
        <w:t>4</w:t>
      </w:r>
      <w:r>
        <w:rPr>
          <w:rFonts w:hint="eastAsia" w:ascii="黑体" w:hAnsi="黑体" w:eastAsia="黑体" w:cs="黑体"/>
          <w:spacing w:val="0"/>
          <w:sz w:val="52"/>
          <w:szCs w:val="52"/>
        </w:rPr>
        <w:t>年度</w:t>
      </w:r>
      <w:r>
        <w:rPr>
          <w:rFonts w:hint="eastAsia" w:ascii="黑体" w:hAnsi="黑体" w:eastAsia="黑体" w:cs="黑体"/>
          <w:spacing w:val="0"/>
          <w:sz w:val="52"/>
          <w:szCs w:val="52"/>
          <w:lang w:eastAsia="zh-CN"/>
        </w:rPr>
        <w:t>云溪区</w:t>
      </w:r>
      <w:r>
        <w:rPr>
          <w:rFonts w:hint="eastAsia" w:ascii="黑体" w:hAnsi="黑体" w:eastAsia="黑体" w:cs="黑体"/>
          <w:spacing w:val="0"/>
          <w:sz w:val="52"/>
          <w:szCs w:val="52"/>
        </w:rPr>
        <w:t>整体支出</w:t>
      </w:r>
    </w:p>
    <w:p w14:paraId="15978B7E">
      <w:pPr>
        <w:keepNext w:val="0"/>
        <w:keepLines w:val="0"/>
        <w:pageBreakBefore w:val="0"/>
        <w:widowControl/>
        <w:kinsoku w:val="0"/>
        <w:wordWrap/>
        <w:overflowPunct/>
        <w:topLinePunct w:val="0"/>
        <w:autoSpaceDE w:val="0"/>
        <w:autoSpaceDN w:val="0"/>
        <w:bidi w:val="0"/>
        <w:adjustRightInd w:val="0"/>
        <w:snapToGrid w:val="0"/>
        <w:spacing w:line="560" w:lineRule="exact"/>
        <w:ind w:left="2789"/>
        <w:textAlignment w:val="baseline"/>
        <w:rPr>
          <w:rFonts w:hint="eastAsia" w:ascii="黑体" w:hAnsi="黑体" w:eastAsia="黑体" w:cs="黑体"/>
          <w:spacing w:val="0"/>
          <w:sz w:val="52"/>
          <w:szCs w:val="52"/>
        </w:rPr>
      </w:pPr>
      <w:r>
        <w:rPr>
          <w:rFonts w:hint="eastAsia" w:ascii="黑体" w:hAnsi="黑体" w:eastAsia="黑体" w:cs="黑体"/>
          <w:spacing w:val="0"/>
          <w:sz w:val="52"/>
          <w:szCs w:val="52"/>
        </w:rPr>
        <w:t>绩效自评报告</w:t>
      </w:r>
    </w:p>
    <w:p w14:paraId="37EC9506">
      <w:pPr>
        <w:keepNext w:val="0"/>
        <w:keepLines w:val="0"/>
        <w:pageBreakBefore w:val="0"/>
        <w:overflowPunct/>
        <w:topLinePunct w:val="0"/>
        <w:bidi w:val="0"/>
        <w:spacing w:line="560" w:lineRule="exact"/>
        <w:rPr>
          <w:rFonts w:hint="eastAsia" w:ascii="黑体" w:hAnsi="黑体" w:eastAsia="黑体" w:cs="黑体"/>
          <w:spacing w:val="0"/>
          <w:sz w:val="52"/>
          <w:szCs w:val="52"/>
        </w:rPr>
      </w:pPr>
    </w:p>
    <w:p w14:paraId="2E7F7A29">
      <w:pPr>
        <w:keepNext w:val="0"/>
        <w:keepLines w:val="0"/>
        <w:pageBreakBefore w:val="0"/>
        <w:overflowPunct/>
        <w:topLinePunct w:val="0"/>
        <w:bidi w:val="0"/>
        <w:spacing w:line="560" w:lineRule="exact"/>
        <w:rPr>
          <w:rFonts w:ascii="Arial"/>
          <w:spacing w:val="0"/>
          <w:sz w:val="21"/>
        </w:rPr>
      </w:pPr>
    </w:p>
    <w:p w14:paraId="3847F684">
      <w:pPr>
        <w:keepNext w:val="0"/>
        <w:keepLines w:val="0"/>
        <w:pageBreakBefore w:val="0"/>
        <w:overflowPunct/>
        <w:topLinePunct w:val="0"/>
        <w:bidi w:val="0"/>
        <w:spacing w:line="560" w:lineRule="exact"/>
        <w:rPr>
          <w:rFonts w:ascii="Arial"/>
          <w:spacing w:val="0"/>
          <w:sz w:val="21"/>
        </w:rPr>
      </w:pPr>
    </w:p>
    <w:p w14:paraId="0D84A86F">
      <w:pPr>
        <w:keepNext w:val="0"/>
        <w:keepLines w:val="0"/>
        <w:pageBreakBefore w:val="0"/>
        <w:overflowPunct/>
        <w:topLinePunct w:val="0"/>
        <w:bidi w:val="0"/>
        <w:spacing w:line="560" w:lineRule="exact"/>
        <w:rPr>
          <w:rFonts w:ascii="Arial"/>
          <w:spacing w:val="0"/>
          <w:sz w:val="21"/>
        </w:rPr>
      </w:pPr>
    </w:p>
    <w:p w14:paraId="21F50D31">
      <w:pPr>
        <w:keepNext w:val="0"/>
        <w:keepLines w:val="0"/>
        <w:pageBreakBefore w:val="0"/>
        <w:overflowPunct/>
        <w:topLinePunct w:val="0"/>
        <w:bidi w:val="0"/>
        <w:spacing w:line="560" w:lineRule="exact"/>
        <w:rPr>
          <w:rFonts w:ascii="Arial"/>
          <w:spacing w:val="0"/>
          <w:sz w:val="21"/>
        </w:rPr>
      </w:pPr>
    </w:p>
    <w:p w14:paraId="77AA0084">
      <w:pPr>
        <w:keepNext w:val="0"/>
        <w:keepLines w:val="0"/>
        <w:pageBreakBefore w:val="0"/>
        <w:overflowPunct/>
        <w:topLinePunct w:val="0"/>
        <w:bidi w:val="0"/>
        <w:spacing w:line="560" w:lineRule="exact"/>
        <w:rPr>
          <w:rFonts w:ascii="Arial"/>
          <w:spacing w:val="0"/>
          <w:sz w:val="21"/>
        </w:rPr>
      </w:pPr>
    </w:p>
    <w:p w14:paraId="7D84E94C">
      <w:pPr>
        <w:keepNext w:val="0"/>
        <w:keepLines w:val="0"/>
        <w:pageBreakBefore w:val="0"/>
        <w:overflowPunct/>
        <w:topLinePunct w:val="0"/>
        <w:bidi w:val="0"/>
        <w:spacing w:line="560" w:lineRule="exact"/>
        <w:rPr>
          <w:rFonts w:ascii="Arial"/>
          <w:spacing w:val="0"/>
          <w:sz w:val="21"/>
        </w:rPr>
      </w:pPr>
    </w:p>
    <w:p w14:paraId="6A6BBBE8">
      <w:pPr>
        <w:keepNext w:val="0"/>
        <w:keepLines w:val="0"/>
        <w:pageBreakBefore w:val="0"/>
        <w:overflowPunct/>
        <w:topLinePunct w:val="0"/>
        <w:bidi w:val="0"/>
        <w:spacing w:line="560" w:lineRule="exact"/>
        <w:rPr>
          <w:rFonts w:ascii="Arial"/>
          <w:spacing w:val="0"/>
          <w:sz w:val="21"/>
        </w:rPr>
      </w:pPr>
    </w:p>
    <w:p w14:paraId="1C4A9042">
      <w:pPr>
        <w:keepNext w:val="0"/>
        <w:keepLines w:val="0"/>
        <w:pageBreakBefore w:val="0"/>
        <w:overflowPunct/>
        <w:topLinePunct w:val="0"/>
        <w:bidi w:val="0"/>
        <w:spacing w:line="560" w:lineRule="exact"/>
        <w:rPr>
          <w:rFonts w:ascii="Arial"/>
          <w:spacing w:val="0"/>
          <w:sz w:val="21"/>
        </w:rPr>
      </w:pPr>
    </w:p>
    <w:p w14:paraId="33C3CF9C">
      <w:pPr>
        <w:keepNext w:val="0"/>
        <w:keepLines w:val="0"/>
        <w:pageBreakBefore w:val="0"/>
        <w:overflowPunct/>
        <w:topLinePunct w:val="0"/>
        <w:bidi w:val="0"/>
        <w:spacing w:line="560" w:lineRule="exact"/>
        <w:rPr>
          <w:rFonts w:ascii="Arial"/>
          <w:spacing w:val="0"/>
          <w:sz w:val="21"/>
        </w:rPr>
      </w:pPr>
    </w:p>
    <w:p w14:paraId="610C651B">
      <w:pPr>
        <w:keepNext w:val="0"/>
        <w:keepLines w:val="0"/>
        <w:pageBreakBefore w:val="0"/>
        <w:overflowPunct/>
        <w:topLinePunct w:val="0"/>
        <w:bidi w:val="0"/>
        <w:spacing w:line="560" w:lineRule="exact"/>
        <w:rPr>
          <w:rFonts w:ascii="Arial"/>
          <w:spacing w:val="0"/>
          <w:sz w:val="21"/>
        </w:rPr>
      </w:pPr>
    </w:p>
    <w:p w14:paraId="2CDBA715">
      <w:pPr>
        <w:keepNext w:val="0"/>
        <w:keepLines w:val="0"/>
        <w:pageBreakBefore w:val="0"/>
        <w:overflowPunct/>
        <w:topLinePunct w:val="0"/>
        <w:bidi w:val="0"/>
        <w:spacing w:line="560" w:lineRule="exact"/>
        <w:rPr>
          <w:rFonts w:ascii="Arial"/>
          <w:spacing w:val="0"/>
          <w:sz w:val="21"/>
        </w:rPr>
      </w:pPr>
    </w:p>
    <w:p w14:paraId="5685319E">
      <w:pPr>
        <w:pStyle w:val="2"/>
        <w:keepNext w:val="0"/>
        <w:keepLines w:val="0"/>
        <w:pageBreakBefore w:val="0"/>
        <w:overflowPunct/>
        <w:topLinePunct w:val="0"/>
        <w:bidi w:val="0"/>
        <w:spacing w:line="560" w:lineRule="exact"/>
        <w:ind w:firstLine="930" w:firstLineChars="300"/>
        <w:rPr>
          <w:spacing w:val="0"/>
        </w:rPr>
      </w:pPr>
      <w:r>
        <w:rPr>
          <w:spacing w:val="0"/>
        </w:rPr>
        <w:t xml:space="preserve">部门（单位）名称： </w:t>
      </w:r>
      <w:r>
        <w:rPr>
          <w:spacing w:val="0"/>
          <w:u w:val="single" w:color="auto"/>
        </w:rPr>
        <w:t xml:space="preserve"> </w:t>
      </w:r>
      <w:r>
        <w:rPr>
          <w:rFonts w:hint="eastAsia"/>
          <w:spacing w:val="0"/>
          <w:u w:val="single" w:color="auto"/>
          <w:lang w:eastAsia="zh-CN"/>
        </w:rPr>
        <w:t>云溪区人力资源和社会保障局</w:t>
      </w:r>
      <w:r>
        <w:rPr>
          <w:spacing w:val="0"/>
          <w:u w:val="single" w:color="auto"/>
        </w:rPr>
        <w:t xml:space="preserve">       </w:t>
      </w:r>
    </w:p>
    <w:p w14:paraId="2BA5214E">
      <w:pPr>
        <w:keepNext w:val="0"/>
        <w:keepLines w:val="0"/>
        <w:pageBreakBefore w:val="0"/>
        <w:overflowPunct/>
        <w:topLinePunct w:val="0"/>
        <w:bidi w:val="0"/>
        <w:spacing w:line="560" w:lineRule="exact"/>
        <w:ind w:left="3179"/>
        <w:rPr>
          <w:rFonts w:hint="eastAsia" w:ascii="楷体" w:hAnsi="楷体" w:eastAsia="楷体" w:cs="楷体"/>
          <w:spacing w:val="0"/>
          <w:sz w:val="31"/>
          <w:szCs w:val="31"/>
          <w:lang w:val="en-US" w:eastAsia="zh-CN"/>
        </w:rPr>
      </w:pPr>
    </w:p>
    <w:p w14:paraId="15B57FC5">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 xml:space="preserve">年 </w:t>
      </w:r>
      <w:r>
        <w:rPr>
          <w:rFonts w:hint="eastAsia" w:ascii="楷体" w:hAnsi="楷体" w:eastAsia="楷体" w:cs="楷体"/>
          <w:spacing w:val="0"/>
          <w:sz w:val="31"/>
          <w:szCs w:val="31"/>
          <w:lang w:val="en-US" w:eastAsia="zh-CN"/>
        </w:rPr>
        <w:t>6</w:t>
      </w:r>
      <w:r>
        <w:rPr>
          <w:rFonts w:ascii="楷体" w:hAnsi="楷体" w:eastAsia="楷体" w:cs="楷体"/>
          <w:spacing w:val="0"/>
          <w:sz w:val="31"/>
          <w:szCs w:val="31"/>
        </w:rPr>
        <w:t xml:space="preserve">月 </w:t>
      </w:r>
      <w:r>
        <w:rPr>
          <w:rFonts w:hint="eastAsia" w:ascii="楷体" w:hAnsi="楷体" w:eastAsia="楷体" w:cs="楷体"/>
          <w:spacing w:val="0"/>
          <w:sz w:val="31"/>
          <w:szCs w:val="31"/>
          <w:lang w:val="en-US" w:eastAsia="zh-CN"/>
        </w:rPr>
        <w:t>20</w:t>
      </w:r>
      <w:r>
        <w:rPr>
          <w:rFonts w:ascii="楷体" w:hAnsi="楷体" w:eastAsia="楷体" w:cs="楷体"/>
          <w:spacing w:val="0"/>
          <w:sz w:val="31"/>
          <w:szCs w:val="31"/>
        </w:rPr>
        <w:t xml:space="preserve"> 日</w:t>
      </w:r>
    </w:p>
    <w:p w14:paraId="74BB66F3">
      <w:pPr>
        <w:keepNext w:val="0"/>
        <w:keepLines w:val="0"/>
        <w:pageBreakBefore w:val="0"/>
        <w:overflowPunct/>
        <w:topLinePunct w:val="0"/>
        <w:bidi w:val="0"/>
        <w:spacing w:line="560" w:lineRule="exact"/>
        <w:rPr>
          <w:rFonts w:ascii="Arial"/>
          <w:spacing w:val="0"/>
          <w:sz w:val="21"/>
        </w:rPr>
      </w:pPr>
    </w:p>
    <w:p w14:paraId="34C42182">
      <w:pPr>
        <w:keepNext w:val="0"/>
        <w:keepLines w:val="0"/>
        <w:pageBreakBefore w:val="0"/>
        <w:overflowPunct/>
        <w:topLinePunct w:val="0"/>
        <w:bidi w:val="0"/>
        <w:spacing w:line="560" w:lineRule="exact"/>
        <w:ind w:firstLine="860" w:firstLineChars="200"/>
        <w:rPr>
          <w:rFonts w:hint="eastAsia" w:asciiTheme="majorEastAsia" w:hAnsiTheme="majorEastAsia" w:eastAsiaTheme="majorEastAsia" w:cstheme="majorEastAsia"/>
          <w:spacing w:val="0"/>
          <w:sz w:val="43"/>
          <w:szCs w:val="43"/>
        </w:rPr>
      </w:pPr>
    </w:p>
    <w:p w14:paraId="15AA7EF2">
      <w:pPr>
        <w:keepNext w:val="0"/>
        <w:keepLines w:val="0"/>
        <w:pageBreakBefore w:val="0"/>
        <w:overflowPunct/>
        <w:topLinePunct w:val="0"/>
        <w:bidi w:val="0"/>
        <w:spacing w:line="560" w:lineRule="exact"/>
        <w:ind w:firstLine="860" w:firstLineChars="200"/>
        <w:rPr>
          <w:rFonts w:hint="eastAsia" w:asciiTheme="majorEastAsia" w:hAnsiTheme="majorEastAsia" w:eastAsiaTheme="majorEastAsia" w:cstheme="majorEastAsia"/>
          <w:spacing w:val="0"/>
          <w:sz w:val="43"/>
          <w:szCs w:val="43"/>
        </w:rPr>
      </w:pPr>
    </w:p>
    <w:p w14:paraId="3BFBDFA5">
      <w:pPr>
        <w:keepNext w:val="0"/>
        <w:keepLines w:val="0"/>
        <w:pageBreakBefore w:val="0"/>
        <w:overflowPunct/>
        <w:topLinePunct w:val="0"/>
        <w:bidi w:val="0"/>
        <w:spacing w:line="560" w:lineRule="exact"/>
        <w:ind w:firstLine="860" w:firstLineChars="200"/>
        <w:rPr>
          <w:rFonts w:hint="eastAsia" w:asciiTheme="majorEastAsia" w:hAnsiTheme="majorEastAsia" w:eastAsiaTheme="majorEastAsia" w:cstheme="majorEastAsia"/>
          <w:spacing w:val="0"/>
          <w:sz w:val="43"/>
          <w:szCs w:val="43"/>
        </w:rPr>
      </w:pPr>
    </w:p>
    <w:p w14:paraId="4C883793">
      <w:pPr>
        <w:keepNext w:val="0"/>
        <w:keepLines w:val="0"/>
        <w:pageBreakBefore w:val="0"/>
        <w:overflowPunct/>
        <w:topLinePunct w:val="0"/>
        <w:bidi w:val="0"/>
        <w:spacing w:line="560" w:lineRule="exact"/>
        <w:ind w:firstLine="860" w:firstLineChars="200"/>
        <w:rPr>
          <w:rFonts w:hint="eastAsia" w:asciiTheme="majorEastAsia" w:hAnsiTheme="majorEastAsia" w:eastAsiaTheme="majorEastAsia" w:cstheme="majorEastAsia"/>
          <w:spacing w:val="0"/>
          <w:sz w:val="43"/>
          <w:szCs w:val="43"/>
        </w:rPr>
      </w:pPr>
    </w:p>
    <w:p w14:paraId="29FAD23B">
      <w:pPr>
        <w:keepNext w:val="0"/>
        <w:keepLines w:val="0"/>
        <w:pageBreakBefore w:val="0"/>
        <w:overflowPunct/>
        <w:topLinePunct w:val="0"/>
        <w:bidi w:val="0"/>
        <w:spacing w:line="560" w:lineRule="exact"/>
        <w:ind w:firstLine="860" w:firstLineChars="200"/>
        <w:rPr>
          <w:rFonts w:hint="eastAsia" w:asciiTheme="majorEastAsia" w:hAnsiTheme="majorEastAsia" w:eastAsiaTheme="majorEastAsia" w:cstheme="majorEastAsia"/>
          <w:spacing w:val="0"/>
          <w:sz w:val="43"/>
          <w:szCs w:val="43"/>
        </w:rPr>
      </w:pPr>
    </w:p>
    <w:p w14:paraId="1F8C6BC1">
      <w:pPr>
        <w:keepNext w:val="0"/>
        <w:keepLines w:val="0"/>
        <w:pageBreakBefore w:val="0"/>
        <w:overflowPunct/>
        <w:topLinePunct w:val="0"/>
        <w:bidi w:val="0"/>
        <w:spacing w:line="560" w:lineRule="exact"/>
        <w:ind w:firstLine="860" w:firstLineChars="200"/>
        <w:rPr>
          <w:rFonts w:hint="eastAsia" w:ascii="宋体" w:hAnsi="宋体" w:eastAsia="宋体" w:cs="宋体"/>
          <w:spacing w:val="0"/>
          <w:sz w:val="40"/>
          <w:szCs w:val="40"/>
          <w:u w:val="none" w:color="auto"/>
          <w:lang w:eastAsia="zh-CN"/>
        </w:rPr>
      </w:pPr>
      <w:r>
        <w:rPr>
          <w:rFonts w:hint="eastAsia" w:asciiTheme="majorEastAsia" w:hAnsiTheme="majorEastAsia" w:eastAsiaTheme="majorEastAsia" w:cstheme="majorEastAsia"/>
          <w:spacing w:val="0"/>
          <w:sz w:val="43"/>
          <w:szCs w:val="43"/>
        </w:rPr>
        <w:t>202</w:t>
      </w:r>
      <w:r>
        <w:rPr>
          <w:rFonts w:hint="eastAsia" w:asciiTheme="majorEastAsia" w:hAnsiTheme="majorEastAsia" w:eastAsiaTheme="majorEastAsia" w:cstheme="majorEastAsia"/>
          <w:spacing w:val="0"/>
          <w:sz w:val="43"/>
          <w:szCs w:val="43"/>
          <w:lang w:val="en-US" w:eastAsia="zh-CN"/>
        </w:rPr>
        <w:t>4</w:t>
      </w:r>
      <w:r>
        <w:rPr>
          <w:rFonts w:hint="eastAsia" w:asciiTheme="majorEastAsia" w:hAnsiTheme="majorEastAsia" w:eastAsiaTheme="majorEastAsia" w:cstheme="majorEastAsia"/>
          <w:spacing w:val="0"/>
          <w:sz w:val="43"/>
          <w:szCs w:val="43"/>
        </w:rPr>
        <w:t>年度</w:t>
      </w:r>
      <w:r>
        <w:rPr>
          <w:rFonts w:hint="eastAsia" w:ascii="宋体" w:hAnsi="宋体" w:eastAsia="宋体" w:cs="宋体"/>
          <w:spacing w:val="0"/>
          <w:sz w:val="40"/>
          <w:szCs w:val="40"/>
          <w:u w:val="none" w:color="auto"/>
          <w:lang w:eastAsia="zh-CN"/>
        </w:rPr>
        <w:t>云溪区人力资源和社会保障局</w:t>
      </w:r>
    </w:p>
    <w:p w14:paraId="0080BD60">
      <w:pPr>
        <w:keepNext w:val="0"/>
        <w:keepLines w:val="0"/>
        <w:pageBreakBefore w:val="0"/>
        <w:overflowPunct/>
        <w:topLinePunct w:val="0"/>
        <w:bidi w:val="0"/>
        <w:spacing w:line="560" w:lineRule="exact"/>
        <w:ind w:firstLine="2580" w:firstLineChars="600"/>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整体支出绩效自评报告</w:t>
      </w:r>
    </w:p>
    <w:p w14:paraId="0DCFEEA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一、部门（单位）概况</w:t>
      </w:r>
    </w:p>
    <w:p w14:paraId="67D2B73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（一）</w:t>
      </w:r>
      <w:r>
        <w:rPr>
          <w:rFonts w:hint="eastAsia" w:ascii="宋体" w:hAnsi="宋体" w:eastAsia="宋体" w:cs="宋体"/>
          <w:bCs/>
          <w:sz w:val="24"/>
          <w:szCs w:val="24"/>
        </w:rPr>
        <w:t>部门（单位）基本情况</w:t>
      </w:r>
    </w:p>
    <w:p w14:paraId="3208C6B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根据《中共湖南省委办公厅湖南省人民政府办公厅关于印发</w:t>
      </w:r>
      <w:r>
        <w:rPr>
          <w:rFonts w:hint="eastAsia" w:ascii="仿宋_GB2312" w:eastAsia="仿宋_GB2312"/>
          <w:sz w:val="28"/>
          <w:szCs w:val="28"/>
          <w:lang w:eastAsia="zh-CN"/>
        </w:rPr>
        <w:t>〈</w:t>
      </w:r>
      <w:r>
        <w:rPr>
          <w:rFonts w:hint="eastAsia" w:ascii="仿宋_GB2312" w:eastAsia="仿宋_GB2312"/>
          <w:sz w:val="28"/>
          <w:szCs w:val="28"/>
        </w:rPr>
        <w:t>岳阳市县市区机构改革方案</w:t>
      </w:r>
      <w:r>
        <w:rPr>
          <w:rFonts w:hint="eastAsia" w:ascii="仿宋_GB2312" w:eastAsia="仿宋_GB2312"/>
          <w:sz w:val="28"/>
          <w:szCs w:val="28"/>
          <w:lang w:eastAsia="zh-CN"/>
        </w:rPr>
        <w:t>〉</w:t>
      </w:r>
      <w:r>
        <w:rPr>
          <w:rFonts w:hint="eastAsia" w:ascii="仿宋_GB2312" w:eastAsia="仿宋_GB2312"/>
          <w:sz w:val="28"/>
          <w:szCs w:val="28"/>
        </w:rPr>
        <w:t>的通知》（湘办〔2019〕13号）、《中共岳阳市委机构编制委员会办公室关于印发岳阳市云溪区承担行政职能事业单位改革方案的通知》（岳编办通〔2019〕21号），制定本规定。</w:t>
      </w:r>
      <w:r>
        <w:rPr>
          <w:rFonts w:hint="eastAsia" w:ascii="仿宋_GB2312" w:eastAsia="仿宋_GB2312"/>
          <w:sz w:val="32"/>
          <w:szCs w:val="32"/>
        </w:rPr>
        <w:t>贯彻落实党中央、省委、市委关于人力资源和社会保障工作的方针政策和决策部署，落实区委关于人力资源和社会保障工作的部署要求，在履行职责过程中坚持和加强党对人力资源和社会保障工作的集中统一领导。</w:t>
      </w:r>
    </w:p>
    <w:p w14:paraId="15041D2D">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sz w:val="32"/>
          <w:szCs w:val="32"/>
        </w:rPr>
      </w:pPr>
      <w:r>
        <w:rPr>
          <w:rFonts w:hint="eastAsia" w:ascii="宋体" w:hAnsi="宋体" w:eastAsia="宋体" w:cs="宋体"/>
          <w:bCs/>
          <w:sz w:val="28"/>
          <w:szCs w:val="28"/>
          <w:lang w:eastAsia="zh-CN"/>
        </w:rPr>
        <w:t>（二）</w:t>
      </w:r>
      <w:r>
        <w:rPr>
          <w:rFonts w:hint="eastAsia" w:ascii="仿宋_GB2312" w:hAnsi="仿宋_GB2312" w:eastAsia="仿宋_GB2312" w:cs="仿宋_GB2312"/>
          <w:sz w:val="32"/>
          <w:szCs w:val="32"/>
        </w:rPr>
        <w:t>主要职责是：</w:t>
      </w:r>
    </w:p>
    <w:p w14:paraId="6D8632AA">
      <w:pPr>
        <w:spacing w:line="576" w:lineRule="exact"/>
        <w:ind w:firstLine="640" w:firstLineChars="200"/>
        <w:rPr>
          <w:rFonts w:ascii="仿宋_GB2312" w:hAnsi="Times New Roman" w:eastAsia="仿宋_GB2312" w:cs="Times New Roman"/>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贯彻执行国家、省、市人力资源和社会保障工作法律法规和政策；拟订全区人力资源和社会保障事业发展规划和年度工作计划，起草人力资源和社会保障规范性文件草案，并组织实施和监督检查；对全区人力资源和社会保障工作进行综合管理、监督指导、协调服务。</w:t>
      </w:r>
    </w:p>
    <w:p w14:paraId="01C92667">
      <w:pPr>
        <w:spacing w:line="576" w:lineRule="exact"/>
        <w:ind w:firstLine="600"/>
        <w:rPr>
          <w:rFonts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拟订并组织实施全区人力资源市场发展规划和人力资源流动政策，指导全区建立统一规范的人力资源市场，促进人力资源合理流动、有效配置。</w:t>
      </w:r>
    </w:p>
    <w:p w14:paraId="76B2AE19">
      <w:pPr>
        <w:spacing w:line="576" w:lineRule="exact"/>
        <w:ind w:firstLine="600"/>
        <w:rPr>
          <w:rFonts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负责全区促进就业工作，拟订统筹城乡的就业发展规划和政策，完善公共就业服务体系，统筹建立面向城乡劳动者的职业技能培训制度，组织实施就业援助、特殊群体就业等政策，牵头落实高校毕业生就业政策，会同有关部门落实高技能人才、农村实用人才培养和激励政策。</w:t>
      </w:r>
    </w:p>
    <w:p w14:paraId="50373B10">
      <w:pPr>
        <w:spacing w:line="576" w:lineRule="exact"/>
        <w:ind w:firstLine="600"/>
        <w:rPr>
          <w:rFonts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spacing w:val="-4"/>
          <w:kern w:val="0"/>
          <w:sz w:val="32"/>
          <w:szCs w:val="32"/>
        </w:rPr>
        <w:t>统筹推进建立全区覆盖城乡的多层次社会保障体系。组织实施养老、失业、工伤等社会保险及其补充保险政策和标准，落实养老、失业、工伤等社会保险及其补充保险基金管理和监督制度，编制相关社会保险基金预决算草案。会同有关部门实施全民参保计划并建立全区统一的社会保险公共服务平台。</w:t>
      </w:r>
    </w:p>
    <w:p w14:paraId="7F249EF3">
      <w:pPr>
        <w:spacing w:line="576" w:lineRule="exact"/>
        <w:ind w:firstLine="600"/>
        <w:rPr>
          <w:rFonts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负责全区就业、失业和相关社会保险基金预测预警和信息指导，拟订应对预案，实施预防、调节和控制，保持就业形势稳定和社会保险基金总体收支平衡。</w:t>
      </w:r>
    </w:p>
    <w:p w14:paraId="37D90E92">
      <w:pPr>
        <w:spacing w:line="576" w:lineRule="exact"/>
        <w:ind w:firstLine="646"/>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统筹实施劳动人事争议调解仲裁制度；落实劳动关系相关政策，完善劳动关系协调机制；监督落实职工工作时间、休息休假和假期制度；监督落实消除非法使用童工和女工、未成年工特殊劳动保护政策；组织实施劳动保障监察，协调劳动者维权工作，依法查处重大案件；协调指导处理人力资源和社会保障信访事项和突发事件。</w:t>
      </w:r>
    </w:p>
    <w:p w14:paraId="7E1D1264">
      <w:pPr>
        <w:spacing w:line="576"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牵头推进深化职称制度改革，归口管理专业技术人员职称工作；负责博士后、留学回国人员的管理协调工作；负责高层次专业技术人才选拔、培养和组织享受政府特殊津贴人员推荐和选拔工作；</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拟订并落实吸引留学人员来云溪（回国）工作、定居和国（境）外机构在区内招聘专业技术骨干人才管理政策；组织拟订技能人才培养、评价、使用和激励制度；完善职业资格制度，健全职业技能多元化评价政策。</w:t>
      </w:r>
    </w:p>
    <w:p w14:paraId="19F4248A">
      <w:pPr>
        <w:spacing w:line="576"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会同有关部门指导事业单位人事制度改革，按照管理权限负责规范事业单位岗位设置、公开招聘、聘用合同等人事综合管理工作，拟订事业单位工作人员和机关工勤人员管理政策。</w:t>
      </w:r>
    </w:p>
    <w:p w14:paraId="48CD524B">
      <w:pPr>
        <w:spacing w:line="576"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负责事业单位工资收入分配综合管理；组织实施事业单位人员工资收入分配政策，配合相关部门审核纳入区级财政统一发放工资范围的事业单位及人员的工资、奖金、津补贴标准和离退休费，落实企事业单位人员福利和离退休政策，建立企事业单位人员工资决定、正常增长和支付保障机制，指导和监督国有企业工资总额管理和企业负责人收入分配。</w:t>
      </w:r>
    </w:p>
    <w:p w14:paraId="2F4527DE">
      <w:pPr>
        <w:spacing w:line="576" w:lineRule="exact"/>
        <w:ind w:firstLine="646"/>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会同有关部门拟订全区农民工工作综合性政策和规划，推动农</w:t>
      </w:r>
      <w:r>
        <w:rPr>
          <w:rFonts w:hint="eastAsia" w:ascii="仿宋_GB2312" w:hAnsi="宋体" w:eastAsia="仿宋_GB2312" w:cs="宋体"/>
          <w:spacing w:val="-6"/>
          <w:kern w:val="0"/>
          <w:sz w:val="32"/>
          <w:szCs w:val="32"/>
        </w:rPr>
        <w:t>民工相关政策的落实，参与协调解决农民工工作中的重点难点问题，维护农民工合法权益。</w:t>
      </w:r>
    </w:p>
    <w:p w14:paraId="442B0105">
      <w:pPr>
        <w:spacing w:line="576" w:lineRule="exact"/>
        <w:ind w:firstLine="646"/>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会同有关部门拟定区级表彰奖励制度，综合管理表彰奖励工作，根据授权承办区级以上表彰奖励活动相关工作。承担全区评比达标表彰相关工作。</w:t>
      </w:r>
    </w:p>
    <w:p w14:paraId="0425B577">
      <w:pPr>
        <w:spacing w:line="576" w:lineRule="exact"/>
        <w:ind w:firstLine="646"/>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完成区委和区政府交办的其他任务。</w:t>
      </w:r>
    </w:p>
    <w:p w14:paraId="6AF5AD20">
      <w:pPr>
        <w:spacing w:line="576" w:lineRule="exact"/>
        <w:ind w:firstLine="646"/>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13.</w:t>
      </w:r>
      <w:r>
        <w:rPr>
          <w:rFonts w:hint="eastAsia" w:ascii="仿宋_GB2312" w:hAnsi="Arial" w:eastAsia="仿宋_GB2312" w:cs="Arial"/>
          <w:sz w:val="32"/>
          <w:szCs w:val="32"/>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14:paraId="0DF05AFC">
      <w:pPr>
        <w:spacing w:line="576" w:lineRule="exact"/>
        <w:ind w:firstLine="646"/>
        <w:rPr>
          <w:rFonts w:ascii="仿宋_GB2312" w:hAnsi="Arial" w:eastAsia="仿宋_GB2312" w:cs="Arial"/>
          <w:sz w:val="32"/>
          <w:szCs w:val="32"/>
        </w:rPr>
      </w:pPr>
      <w:r>
        <w:rPr>
          <w:rFonts w:hint="eastAsia" w:ascii="仿宋_GB2312" w:eastAsia="仿宋_GB2312" w:cs="Arial"/>
          <w:sz w:val="32"/>
          <w:szCs w:val="32"/>
          <w:lang w:val="en-US" w:eastAsia="zh-CN"/>
        </w:rPr>
        <w:t>14.</w:t>
      </w:r>
      <w:r>
        <w:rPr>
          <w:rFonts w:hint="eastAsia" w:ascii="仿宋_GB2312" w:hAnsi="Arial" w:eastAsia="仿宋_GB2312" w:cs="Arial"/>
          <w:sz w:val="32"/>
          <w:szCs w:val="32"/>
        </w:rPr>
        <w:t>有关职责分工。</w:t>
      </w:r>
      <w:r>
        <w:rPr>
          <w:rFonts w:hint="eastAsia" w:ascii="仿宋_GB2312" w:eastAsia="仿宋_GB2312"/>
          <w:sz w:val="32"/>
          <w:szCs w:val="32"/>
        </w:rPr>
        <w:t>与区教育体育局的有关职责分工。高校毕业生就业政策由区人力资源和社会保障局牵头，会同区教育体育局等部门拟订。高校毕业生离校前的就业指导和服务工作，由区教育体育局负责；高校毕业生离校后的就业指导和服务工作，由区人力资源和社会保障局负责。</w:t>
      </w:r>
    </w:p>
    <w:p w14:paraId="3CC3F70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sz w:val="28"/>
          <w:szCs w:val="28"/>
          <w:lang w:eastAsia="zh-CN"/>
        </w:rPr>
      </w:pPr>
    </w:p>
    <w:p w14:paraId="7FCF65C4">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48A93669">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53FF1ECD">
      <w:pPr>
        <w:keepNext w:val="0"/>
        <w:keepLines w:val="0"/>
        <w:pageBreakBefore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2024年度财政拨款支出基本支出961.91万元，主要用于以下方面：人员经费586.41万元，占60.96%；公用经费365.21万元，占37.97%;其他（类）支出10.29万元,占1.07%。</w:t>
      </w:r>
    </w:p>
    <w:p w14:paraId="0DDB8034">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bookmarkStart w:id="5" w:name="_GoBack"/>
      <w:bookmarkEnd w:id="5"/>
    </w:p>
    <w:p w14:paraId="3F6B21C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eastAsia="zh-CN"/>
        </w:rPr>
        <w:t>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42B1D440">
      <w:pPr>
        <w:keepNext w:val="0"/>
        <w:keepLines w:val="0"/>
        <w:pageBreakBefore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2024年度财政拨款支出项目支出216.91万元，主要用于以下方面：事业单位工作人员招聘42.56万元，档案管理39万元，仲裁经费6.6万元，全区评优奖金101.4万元。</w:t>
      </w:r>
    </w:p>
    <w:p w14:paraId="274BA4E5">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政府性基金预算支出情况</w:t>
      </w:r>
    </w:p>
    <w:p w14:paraId="4974A6B9">
      <w:pPr>
        <w:keepNext w:val="0"/>
        <w:keepLines w:val="0"/>
        <w:pageBreakBefore w:val="0"/>
        <w:numPr>
          <w:numId w:val="0"/>
        </w:numPr>
        <w:kinsoku/>
        <w:wordWrap/>
        <w:overflowPunct/>
        <w:topLinePunct w:val="0"/>
        <w:autoSpaceDE/>
        <w:autoSpaceDN/>
        <w:bidi w:val="0"/>
        <w:adjustRightInd/>
        <w:snapToGrid/>
        <w:spacing w:line="560" w:lineRule="exact"/>
        <w:textAlignment w:val="auto"/>
        <w:rPr>
          <w:rFonts w:hint="default" w:ascii="黑体" w:hAnsi="黑体" w:eastAsia="黑体" w:cs="黑体"/>
          <w:bCs/>
          <w:sz w:val="24"/>
          <w:szCs w:val="24"/>
          <w:lang w:val="en-US" w:eastAsia="zh-CN"/>
        </w:rPr>
      </w:pPr>
      <w:r>
        <w:rPr>
          <w:rFonts w:hint="eastAsia" w:ascii="黑体" w:hAnsi="黑体" w:eastAsia="黑体" w:cs="黑体"/>
          <w:bCs/>
          <w:sz w:val="24"/>
          <w:szCs w:val="24"/>
          <w:lang w:val="en-US" w:eastAsia="zh-CN"/>
        </w:rPr>
        <w:t xml:space="preserve">    无</w:t>
      </w:r>
    </w:p>
    <w:p w14:paraId="5B7C181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国有资本经营预算支出情况</w:t>
      </w:r>
    </w:p>
    <w:p w14:paraId="3FC7D6D5">
      <w:pPr>
        <w:keepNext w:val="0"/>
        <w:keepLines w:val="0"/>
        <w:pageBreakBefore w:val="0"/>
        <w:numPr>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 xml:space="preserve"> 无</w:t>
      </w:r>
    </w:p>
    <w:p w14:paraId="6425EF6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社会保险基金预算支出情况</w:t>
      </w:r>
    </w:p>
    <w:p w14:paraId="6E3733DB">
      <w:pPr>
        <w:keepNext w:val="0"/>
        <w:keepLines w:val="0"/>
        <w:pageBreakBefore w:val="0"/>
        <w:numPr>
          <w:numId w:val="0"/>
        </w:numPr>
        <w:kinsoku/>
        <w:wordWrap/>
        <w:overflowPunct/>
        <w:topLinePunct w:val="0"/>
        <w:autoSpaceDE/>
        <w:autoSpaceDN/>
        <w:bidi w:val="0"/>
        <w:adjustRightInd/>
        <w:snapToGrid/>
        <w:spacing w:line="560" w:lineRule="exact"/>
        <w:ind w:leftChars="200"/>
        <w:textAlignment w:val="auto"/>
        <w:rPr>
          <w:rFonts w:hint="default" w:ascii="黑体" w:hAnsi="黑体" w:eastAsia="黑体" w:cs="黑体"/>
          <w:bCs/>
          <w:sz w:val="24"/>
          <w:szCs w:val="24"/>
          <w:lang w:val="en-US" w:eastAsia="zh-CN"/>
        </w:rPr>
      </w:pPr>
      <w:r>
        <w:rPr>
          <w:rFonts w:hint="eastAsia" w:ascii="黑体" w:hAnsi="黑体" w:eastAsia="黑体" w:cs="黑体"/>
          <w:bCs/>
          <w:sz w:val="24"/>
          <w:szCs w:val="24"/>
          <w:lang w:val="en-US" w:eastAsia="zh-CN"/>
        </w:rPr>
        <w:t xml:space="preserve"> 无</w:t>
      </w:r>
    </w:p>
    <w:p w14:paraId="4AA8872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六、部门整体支出绩效情况</w:t>
      </w:r>
    </w:p>
    <w:p w14:paraId="5EA886CA">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（一）内强素质，外树形象，锻造人社先锋军</w:t>
      </w:r>
    </w:p>
    <w:p w14:paraId="7498A05D">
      <w:pPr>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一是扎实推进思想政治建设和业务能力培养。</w:t>
      </w:r>
      <w:r>
        <w:rPr>
          <w:rFonts w:hint="eastAsia" w:ascii="仿宋_GB2312" w:hAnsi="仿宋_GB2312" w:eastAsia="仿宋_GB2312" w:cs="仿宋_GB2312"/>
          <w:b w:val="0"/>
          <w:bCs/>
          <w:sz w:val="32"/>
          <w:szCs w:val="32"/>
          <w:lang w:val="en-US" w:eastAsia="zh-CN"/>
        </w:rPr>
        <w:t>常态化开展学习交流活动，每周五固定举行“岗位练兵+”活动。同时，鼓励干部职工通过参加培训课程、在线学习等方式，持续学习新知识、新技能，切实提升综合业务能力。</w:t>
      </w:r>
      <w:r>
        <w:rPr>
          <w:rFonts w:hint="eastAsia" w:ascii="仿宋_GB2312" w:hAnsi="仿宋_GB2312" w:eastAsia="仿宋_GB2312" w:cs="仿宋_GB2312"/>
          <w:b/>
          <w:bCs w:val="0"/>
          <w:sz w:val="32"/>
          <w:szCs w:val="32"/>
          <w:lang w:val="en-US" w:eastAsia="zh-CN"/>
        </w:rPr>
        <w:t>二是大力加强廉政教育，切实强化作风建设。</w:t>
      </w:r>
      <w:r>
        <w:rPr>
          <w:rFonts w:hint="eastAsia" w:ascii="仿宋_GB2312" w:hAnsi="仿宋_GB2312" w:eastAsia="仿宋_GB2312" w:cs="仿宋_GB2312"/>
          <w:b w:val="0"/>
          <w:bCs/>
          <w:sz w:val="32"/>
          <w:szCs w:val="32"/>
          <w:lang w:val="en-US" w:eastAsia="zh-CN"/>
        </w:rPr>
        <w:t>党组书记讲廉政党课、开展谈心谈话活动、观看警示教育片等形式，多维度增强干部的廉洁自律意识，筑牢拒腐防变的思想防线。进一步完善监督考核机制，加强对干部工作作风的日常监督检查，从严整治群众身边不正之风和腐败等不良现象。</w:t>
      </w:r>
      <w:r>
        <w:rPr>
          <w:rFonts w:hint="eastAsia" w:ascii="仿宋_GB2312" w:hAnsi="仿宋_GB2312" w:eastAsia="仿宋_GB2312" w:cs="仿宋_GB2312"/>
          <w:b/>
          <w:bCs w:val="0"/>
          <w:sz w:val="32"/>
          <w:szCs w:val="32"/>
          <w:lang w:val="en-US" w:eastAsia="zh-CN"/>
        </w:rPr>
        <w:t>三是积极鼓励干部勇于担当作为。</w:t>
      </w:r>
      <w:r>
        <w:rPr>
          <w:rFonts w:hint="eastAsia" w:ascii="仿宋_GB2312" w:hAnsi="仿宋_GB2312" w:eastAsia="仿宋_GB2312" w:cs="仿宋_GB2312"/>
          <w:b w:val="0"/>
          <w:bCs/>
          <w:sz w:val="32"/>
          <w:szCs w:val="32"/>
          <w:lang w:val="en-US" w:eastAsia="zh-CN"/>
        </w:rPr>
        <w:t>制定明确的表彰和奖励标准，对在工作中表现突出、勇于创新的干部，及时给予表彰和奖励，并通过内部通报、宣传展板等形式树立正面榜样。在单位内部营造积极向上、鼓励创新的良好工作氛围，激发干部的工作积极性和创造力。</w:t>
      </w:r>
    </w:p>
    <w:p w14:paraId="74233901">
      <w:pPr>
        <w:keepNext w:val="0"/>
        <w:keepLines w:val="0"/>
        <w:pageBreakBefore w:val="0"/>
        <w:widowControl w:val="0"/>
        <w:numPr>
          <w:ilvl w:val="0"/>
          <w:numId w:val="0"/>
        </w:numPr>
        <w:kinsoku/>
        <w:wordWrap/>
        <w:overflowPunct/>
        <w:topLinePunct/>
        <w:autoSpaceDE w:val="0"/>
        <w:autoSpaceDN w:val="0"/>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（二）多措并举，持续发力，实际成效有新色</w:t>
      </w:r>
    </w:p>
    <w:p w14:paraId="2CD71A85">
      <w:pPr>
        <w:keepNext w:val="0"/>
        <w:keepLines w:val="0"/>
        <w:pageBreakBefore w:val="0"/>
        <w:widowControl w:val="0"/>
        <w:shd w:val="clear" w:color="auto" w:fill="FFFFFF"/>
        <w:kinsoku/>
        <w:wordWrap/>
        <w:overflowPunct/>
        <w:bidi w:val="0"/>
        <w:adjustRightInd/>
        <w:snapToGrid/>
        <w:spacing w:beforeAutospacing="0" w:afterAutospacing="0" w:line="560" w:lineRule="exact"/>
        <w:ind w:firstLine="643" w:firstLineChars="200"/>
        <w:contextualSpacing/>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en-US" w:eastAsia="zh-CN"/>
        </w:rPr>
        <w:t>1.实事办理显成效，惠民之举掷地有声</w:t>
      </w:r>
    </w:p>
    <w:p w14:paraId="4FC0BF72">
      <w:pPr>
        <w:keepNext w:val="0"/>
        <w:keepLines w:val="0"/>
        <w:pageBreakBefore w:val="0"/>
        <w:widowControl w:val="0"/>
        <w:numPr>
          <w:ilvl w:val="0"/>
          <w:numId w:val="0"/>
        </w:numPr>
        <w:kinsoku/>
        <w:wordWrap/>
        <w:overflowPunct/>
        <w:topLinePunct/>
        <w:autoSpaceDE w:val="0"/>
        <w:autoSpaceDN w:val="0"/>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作为民生可感行动牵头单位，人社部门始终秉持“群众利益无小事”的原则，以高度的责任感和使命感，精心组织、周密部署，全力推进民生可感行动各项工作。</w:t>
      </w:r>
      <w:r>
        <w:rPr>
          <w:rFonts w:hint="eastAsia" w:ascii="仿宋_GB2312" w:hAnsi="仿宋_GB2312" w:eastAsia="仿宋_GB2312" w:cs="仿宋_GB2312"/>
          <w:b/>
          <w:bCs/>
          <w:sz w:val="32"/>
          <w:szCs w:val="32"/>
          <w:highlight w:val="none"/>
          <w:lang w:val="en-US" w:eastAsia="zh-CN"/>
        </w:rPr>
        <w:t>一是四张清单抓调度。</w:t>
      </w:r>
      <w:r>
        <w:rPr>
          <w:rFonts w:hint="eastAsia" w:ascii="仿宋_GB2312" w:hAnsi="仿宋_GB2312" w:eastAsia="仿宋_GB2312" w:cs="仿宋_GB2312"/>
          <w:b w:val="0"/>
          <w:bCs w:val="0"/>
          <w:sz w:val="32"/>
          <w:szCs w:val="32"/>
          <w:highlight w:val="none"/>
          <w:lang w:val="en-US" w:eastAsia="zh-CN"/>
        </w:rPr>
        <w:t>依据区政府下发实施方案的目标任务，建立任务、政策、投资、责任四张清单，实行清单管理，确保工作任务、责任、要求明确。坚持定期调度、问题导向、沟通协调、跟踪督办，督促责任单位推进工程。</w:t>
      </w:r>
      <w:r>
        <w:rPr>
          <w:rFonts w:hint="eastAsia" w:ascii="仿宋_GB2312" w:hAnsi="仿宋_GB2312" w:eastAsia="仿宋_GB2312" w:cs="仿宋_GB2312"/>
          <w:b/>
          <w:bCs/>
          <w:sz w:val="32"/>
          <w:szCs w:val="32"/>
          <w:highlight w:val="none"/>
          <w:lang w:val="en-US" w:eastAsia="zh-CN"/>
        </w:rPr>
        <w:t>二是项目管理求高效。</w:t>
      </w:r>
      <w:r>
        <w:rPr>
          <w:rFonts w:hint="eastAsia" w:ascii="仿宋_GB2312" w:hAnsi="仿宋_GB2312" w:eastAsia="仿宋_GB2312" w:cs="仿宋_GB2312"/>
          <w:b w:val="0"/>
          <w:bCs w:val="0"/>
          <w:sz w:val="32"/>
          <w:szCs w:val="32"/>
          <w:highlight w:val="none"/>
          <w:lang w:val="en-US" w:eastAsia="zh-CN"/>
        </w:rPr>
        <w:t>运用全省统一开发的“民生实事码上通”系统和项目管理信息平台，全员“扫码”“用码”。及时报送数据，体现项目进度，提高管理精准度。</w:t>
      </w:r>
      <w:r>
        <w:rPr>
          <w:rFonts w:hint="eastAsia" w:ascii="仿宋_GB2312" w:hAnsi="仿宋_GB2312" w:eastAsia="仿宋_GB2312" w:cs="仿宋_GB2312"/>
          <w:b/>
          <w:bCs/>
          <w:sz w:val="32"/>
          <w:szCs w:val="32"/>
          <w:highlight w:val="none"/>
          <w:lang w:val="en-US" w:eastAsia="zh-CN"/>
        </w:rPr>
        <w:t>三是民生可感重评价。</w:t>
      </w:r>
      <w:r>
        <w:rPr>
          <w:rFonts w:hint="eastAsia" w:ascii="仿宋_GB2312" w:hAnsi="仿宋_GB2312" w:eastAsia="仿宋_GB2312" w:cs="仿宋_GB2312"/>
          <w:b w:val="0"/>
          <w:bCs w:val="0"/>
          <w:sz w:val="32"/>
          <w:szCs w:val="32"/>
          <w:highlight w:val="none"/>
          <w:lang w:val="en-US" w:eastAsia="zh-CN"/>
        </w:rPr>
        <w:t>坚持“小切口、大主题、有温度”，把好事做到群众心坎上，不搞“半拉子”“形式主义”“面子工程”。坚持政府办和群众评结合，综合运用多种评价方式，常态化、全过程、全方面评价，让民生可见、可感、可获。2024年</w:t>
      </w:r>
      <w:r>
        <w:rPr>
          <w:rFonts w:hint="eastAsia" w:ascii="仿宋_GB2312" w:hAnsi="仿宋_GB2312" w:eastAsia="仿宋_GB2312" w:cs="仿宋_GB2312"/>
          <w:sz w:val="32"/>
          <w:szCs w:val="32"/>
          <w:lang w:val="en-US" w:eastAsia="zh-CN"/>
        </w:rPr>
        <w:t>我区承办的1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省级民生实事和8</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市级民生实事已全部圆满完成。</w:t>
      </w:r>
      <w:bookmarkStart w:id="1" w:name="OLE_LINK9"/>
      <w:r>
        <w:rPr>
          <w:rFonts w:hint="eastAsia" w:ascii="仿宋_GB2312" w:hAnsi="仿宋_GB2312" w:eastAsia="仿宋_GB2312" w:cs="仿宋_GB2312"/>
          <w:b w:val="0"/>
          <w:bCs w:val="0"/>
          <w:sz w:val="32"/>
          <w:szCs w:val="32"/>
          <w:highlight w:val="none"/>
          <w:lang w:val="en-US" w:eastAsia="zh-CN"/>
        </w:rPr>
        <w:t>工作专班在中国劳动保障报、省人才就业社保信息报、市民生可感行动专报、市人民政府政务信息与交流等媒体上稿多篇，有力展现了云溪区民生可感行动的成果与亮点。</w:t>
      </w:r>
      <w:bookmarkEnd w:id="1"/>
      <w:r>
        <w:rPr>
          <w:rFonts w:hint="eastAsia" w:ascii="仿宋_GB2312" w:hAnsi="仿宋_GB2312" w:eastAsia="仿宋_GB2312" w:cs="仿宋_GB2312"/>
          <w:sz w:val="32"/>
          <w:szCs w:val="32"/>
          <w:lang w:eastAsia="zh-CN"/>
        </w:rPr>
        <w:t>区人社局</w:t>
      </w:r>
      <w:r>
        <w:rPr>
          <w:rFonts w:hint="eastAsia" w:ascii="仿宋_GB2312" w:hAnsi="仿宋_GB2312" w:eastAsia="仿宋_GB2312" w:cs="仿宋_GB2312"/>
          <w:sz w:val="32"/>
          <w:lang w:val="en-US" w:eastAsia="zh-CN"/>
        </w:rPr>
        <w:t>荣获人社部劳动保障新闻宣传工作先进单位殊荣</w:t>
      </w:r>
      <w:r>
        <w:rPr>
          <w:rFonts w:hint="eastAsia" w:ascii="仿宋_GB2312" w:hAnsi="仿宋_GB2312" w:eastAsia="仿宋_GB2312" w:cs="仿宋_GB2312"/>
          <w:b w:val="0"/>
          <w:bCs w:val="0"/>
          <w:sz w:val="32"/>
          <w:lang w:val="en-US" w:eastAsia="zh-CN"/>
        </w:rPr>
        <w:t>，被</w:t>
      </w:r>
      <w:r>
        <w:rPr>
          <w:rFonts w:hint="eastAsia" w:ascii="仿宋_GB2312" w:hAnsi="仿宋_GB2312" w:eastAsia="仿宋_GB2312" w:cs="仿宋_GB2312"/>
          <w:sz w:val="32"/>
          <w:szCs w:val="32"/>
          <w:lang w:val="en-US" w:eastAsia="zh-CN"/>
        </w:rPr>
        <w:t>湖南省人民政府对实施“八大行动”之“民生可感行动”表现优异单位通报表扬。</w:t>
      </w:r>
    </w:p>
    <w:p w14:paraId="07615FD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zh-CN"/>
        </w:rPr>
        <w:t>就业创业见亮点，</w:t>
      </w:r>
      <w:r>
        <w:rPr>
          <w:rFonts w:hint="eastAsia" w:ascii="仿宋_GB2312" w:hAnsi="仿宋_GB2312" w:eastAsia="仿宋_GB2312" w:cs="仿宋_GB2312"/>
          <w:b/>
          <w:sz w:val="32"/>
          <w:szCs w:val="32"/>
          <w:lang w:val="en-US" w:eastAsia="zh-CN"/>
        </w:rPr>
        <w:t>梦想之帆乘风破浪</w:t>
      </w:r>
    </w:p>
    <w:p w14:paraId="2F2A4D15">
      <w:pPr>
        <w:keepNext w:val="0"/>
        <w:keepLines w:val="0"/>
        <w:pageBreakBefore w:val="0"/>
        <w:widowControl w:val="0"/>
        <w:numPr>
          <w:ilvl w:val="0"/>
          <w:numId w:val="0"/>
        </w:numPr>
        <w:kinsoku/>
        <w:wordWrap/>
        <w:overflowPunct/>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bCs/>
          <w:sz w:val="32"/>
          <w:szCs w:val="32"/>
          <w:highlight w:val="none"/>
          <w:lang w:val="en-US" w:eastAsia="zh-CN"/>
        </w:rPr>
        <w:t>一是主要指标完成情况。</w:t>
      </w:r>
      <w:r>
        <w:rPr>
          <w:rFonts w:hint="eastAsia" w:ascii="仿宋_GB2312" w:hAnsi="仿宋_GB2312" w:eastAsia="仿宋_GB2312" w:cs="仿宋_GB2312"/>
          <w:b/>
          <w:bCs/>
          <w:spacing w:val="3"/>
          <w:kern w:val="2"/>
          <w:sz w:val="32"/>
          <w:szCs w:val="32"/>
          <w:lang w:val="en-US" w:eastAsia="zh-CN" w:bidi="ar-SA"/>
        </w:rPr>
        <w:t>重点指标完成情况。</w:t>
      </w:r>
      <w:r>
        <w:rPr>
          <w:rFonts w:hint="eastAsia" w:ascii="仿宋_GB2312" w:hAnsi="仿宋_GB2312" w:eastAsia="仿宋_GB2312" w:cs="仿宋_GB2312"/>
          <w:spacing w:val="3"/>
          <w:kern w:val="2"/>
          <w:sz w:val="32"/>
          <w:szCs w:val="32"/>
          <w:lang w:val="en-US" w:eastAsia="zh-CN" w:bidi="ar-SA"/>
        </w:rPr>
        <w:t>完成新增城镇就业5771人，完成任务数5600人的</w:t>
      </w:r>
      <w:r>
        <w:rPr>
          <w:rFonts w:hint="eastAsia" w:ascii="仿宋_GB2312" w:hAnsi="仿宋_GB2312" w:eastAsia="仿宋_GB2312" w:cs="仿宋_GB2312"/>
          <w:spacing w:val="3"/>
          <w:kern w:val="2"/>
          <w:sz w:val="32"/>
          <w:szCs w:val="32"/>
          <w:lang w:val="en" w:eastAsia="zh-CN" w:bidi="ar-SA"/>
        </w:rPr>
        <w:t>103.</w:t>
      </w:r>
      <w:r>
        <w:rPr>
          <w:rFonts w:hint="eastAsia" w:ascii="仿宋_GB2312" w:hAnsi="仿宋_GB2312" w:eastAsia="仿宋_GB2312" w:cs="仿宋_GB2312"/>
          <w:spacing w:val="3"/>
          <w:kern w:val="2"/>
          <w:sz w:val="32"/>
          <w:szCs w:val="32"/>
          <w:lang w:val="en-US" w:eastAsia="zh-CN" w:bidi="ar-SA"/>
        </w:rPr>
        <w:t>05</w:t>
      </w:r>
      <w:r>
        <w:rPr>
          <w:rFonts w:hint="eastAsia" w:ascii="仿宋_GB2312" w:hAnsi="仿宋_GB2312" w:eastAsia="仿宋_GB2312" w:cs="仿宋_GB2312"/>
          <w:spacing w:val="3"/>
          <w:kern w:val="2"/>
          <w:sz w:val="32"/>
          <w:szCs w:val="32"/>
          <w:lang w:val="en" w:eastAsia="zh-CN" w:bidi="ar-SA"/>
        </w:rPr>
        <w:t>%。</w:t>
      </w:r>
      <w:r>
        <w:rPr>
          <w:rFonts w:hint="eastAsia" w:ascii="仿宋_GB2312" w:hAnsi="仿宋_GB2312" w:eastAsia="仿宋_GB2312" w:cs="仿宋_GB2312"/>
          <w:b/>
          <w:bCs/>
          <w:spacing w:val="3"/>
          <w:kern w:val="2"/>
          <w:sz w:val="32"/>
          <w:szCs w:val="32"/>
          <w:lang w:val="en-US" w:eastAsia="zh-CN" w:bidi="ar-SA"/>
        </w:rPr>
        <w:t>重点群体就业情况。</w:t>
      </w:r>
      <w:r>
        <w:rPr>
          <w:rFonts w:hint="eastAsia" w:ascii="仿宋_GB2312" w:hAnsi="仿宋_GB2312" w:eastAsia="仿宋_GB2312" w:cs="仿宋_GB2312"/>
          <w:spacing w:val="3"/>
          <w:kern w:val="2"/>
          <w:sz w:val="32"/>
          <w:szCs w:val="32"/>
          <w:lang w:val="en-US" w:eastAsia="zh-CN" w:bidi="ar-SA"/>
        </w:rPr>
        <w:t>完成失业人员再就业1724人，完成任务数1700人的101.41%；完成困难人员再就业352人，完成任务数350人的100.57%；完成新增农村劳动力转移就业1120人，完成任务数1100人的101.82%。</w:t>
      </w:r>
      <w:r>
        <w:rPr>
          <w:rFonts w:hint="eastAsia" w:ascii="仿宋_GB2312" w:hAnsi="仿宋_GB2312" w:eastAsia="仿宋_GB2312" w:cs="仿宋_GB2312"/>
          <w:b/>
          <w:bCs/>
          <w:spacing w:val="3"/>
          <w:kern w:val="2"/>
          <w:sz w:val="32"/>
          <w:szCs w:val="32"/>
          <w:lang w:val="en-US" w:eastAsia="zh-CN" w:bidi="ar-SA"/>
        </w:rPr>
        <w:t>创业工作成效情况。</w:t>
      </w:r>
      <w:r>
        <w:rPr>
          <w:rFonts w:hint="eastAsia" w:ascii="仿宋_GB2312" w:hAnsi="仿宋_GB2312" w:eastAsia="仿宋_GB2312" w:cs="仿宋_GB2312"/>
          <w:spacing w:val="3"/>
          <w:kern w:val="2"/>
          <w:sz w:val="32"/>
          <w:szCs w:val="32"/>
          <w:lang w:val="en-US" w:eastAsia="zh-CN" w:bidi="ar-SA"/>
        </w:rPr>
        <w:t>开展乡村领雁创业培训2期，培训58人，完成任务数35人的165.71%；为6个创业主体和11家小微企业发放创业贷款3400万元，完成任务数2600万元的130.77%。</w:t>
      </w:r>
      <w:r>
        <w:rPr>
          <w:rFonts w:hint="eastAsia" w:ascii="仿宋_GB2312" w:hAnsi="仿宋_GB2312" w:eastAsia="仿宋_GB2312" w:cs="仿宋_GB2312"/>
          <w:b/>
          <w:bCs/>
          <w:spacing w:val="3"/>
          <w:kern w:val="2"/>
          <w:sz w:val="32"/>
          <w:szCs w:val="32"/>
          <w:lang w:val="en-US" w:eastAsia="zh-CN" w:bidi="ar-SA"/>
        </w:rPr>
        <w:t>失业保险工作成效。</w:t>
      </w:r>
      <w:r>
        <w:rPr>
          <w:rFonts w:hint="eastAsia" w:ascii="仿宋_GB2312" w:hAnsi="仿宋_GB2312" w:eastAsia="仿宋_GB2312" w:cs="仿宋_GB2312"/>
          <w:spacing w:val="3"/>
          <w:kern w:val="2"/>
          <w:sz w:val="32"/>
          <w:szCs w:val="32"/>
          <w:lang w:val="en-US" w:eastAsia="zh-CN" w:bidi="ar-SA"/>
        </w:rPr>
        <w:t>失业保险参保总人数11557人，完成任务数11107人的104.05%，累计征缴失业保险金   563.67万元，累计发放失业保险金</w:t>
      </w:r>
      <w:r>
        <w:rPr>
          <w:rFonts w:hint="eastAsia" w:ascii="仿宋_GB2312" w:hAnsi="仿宋_GB2312" w:eastAsia="仿宋_GB2312" w:cs="仿宋_GB2312"/>
          <w:b w:val="0"/>
          <w:bCs w:val="0"/>
          <w:spacing w:val="3"/>
          <w:kern w:val="2"/>
          <w:sz w:val="32"/>
          <w:szCs w:val="32"/>
          <w:lang w:val="en-US" w:eastAsia="zh-CN" w:bidi="ar-SA"/>
        </w:rPr>
        <w:t>1547人次251.84</w:t>
      </w:r>
      <w:r>
        <w:rPr>
          <w:rFonts w:hint="eastAsia" w:ascii="仿宋_GB2312" w:hAnsi="仿宋_GB2312" w:eastAsia="仿宋_GB2312" w:cs="仿宋_GB2312"/>
          <w:spacing w:val="3"/>
          <w:kern w:val="2"/>
          <w:sz w:val="32"/>
          <w:szCs w:val="32"/>
          <w:lang w:val="en-US" w:eastAsia="zh-CN" w:bidi="ar-SA"/>
        </w:rPr>
        <w:t>万元。</w:t>
      </w:r>
      <w:r>
        <w:rPr>
          <w:rFonts w:hint="eastAsia" w:ascii="仿宋_GB2312" w:hAnsi="仿宋_GB2312" w:eastAsia="仿宋_GB2312" w:cs="仿宋_GB2312"/>
          <w:b/>
          <w:bCs/>
          <w:spacing w:val="3"/>
          <w:kern w:val="2"/>
          <w:sz w:val="32"/>
          <w:szCs w:val="32"/>
          <w:lang w:val="en-US" w:eastAsia="zh-CN" w:bidi="ar-SA"/>
        </w:rPr>
        <w:t>职业技能培训情况。</w:t>
      </w:r>
      <w:r>
        <w:rPr>
          <w:rFonts w:hint="eastAsia" w:ascii="仿宋_GB2312" w:hAnsi="仿宋_GB2312" w:eastAsia="仿宋_GB2312" w:cs="仿宋_GB2312"/>
          <w:b w:val="0"/>
          <w:bCs w:val="0"/>
          <w:spacing w:val="3"/>
          <w:kern w:val="2"/>
          <w:sz w:val="32"/>
          <w:szCs w:val="32"/>
          <w:lang w:val="en-US" w:eastAsia="zh-CN" w:bidi="ar-SA"/>
        </w:rPr>
        <w:t>举办了家政服务员、安全员、安检员、家禽繁殖员、苗木种苗工等5期职业技能培训班，培训350人，完成人数300人的116.67%。</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sz w:val="32"/>
          <w:szCs w:val="32"/>
          <w:lang w:eastAsia="zh-CN"/>
        </w:rPr>
        <w:t>用心用情</w:t>
      </w:r>
      <w:r>
        <w:rPr>
          <w:rFonts w:hint="eastAsia" w:ascii="仿宋_GB2312" w:hAnsi="仿宋_GB2312" w:eastAsia="仿宋_GB2312" w:cs="仿宋_GB2312"/>
          <w:b/>
          <w:sz w:val="32"/>
          <w:szCs w:val="32"/>
        </w:rPr>
        <w:t>做好招聘</w:t>
      </w:r>
      <w:r>
        <w:rPr>
          <w:rFonts w:hint="eastAsia" w:ascii="仿宋_GB2312" w:hAnsi="仿宋_GB2312" w:eastAsia="仿宋_GB2312" w:cs="仿宋_GB2312"/>
          <w:b/>
          <w:sz w:val="32"/>
          <w:szCs w:val="32"/>
          <w:lang w:eastAsia="zh-CN"/>
        </w:rPr>
        <w:t>服务，</w:t>
      </w:r>
      <w:r>
        <w:rPr>
          <w:rFonts w:hint="eastAsia" w:ascii="仿宋_GB2312" w:hAnsi="仿宋_GB2312" w:eastAsia="仿宋_GB2312" w:cs="仿宋_GB2312"/>
          <w:b/>
          <w:sz w:val="32"/>
          <w:szCs w:val="32"/>
        </w:rPr>
        <w:t>牵线搭桥促就业</w:t>
      </w:r>
      <w:r>
        <w:rPr>
          <w:rFonts w:hint="eastAsia" w:ascii="仿宋_GB2312" w:hAnsi="仿宋_GB2312" w:eastAsia="仿宋_GB2312" w:cs="仿宋_GB2312"/>
          <w:b/>
          <w:bCs/>
          <w:spacing w:val="-9"/>
          <w:sz w:val="32"/>
          <w:szCs w:val="32"/>
          <w:lang w:val="en-US" w:eastAsia="zh-CN"/>
        </w:rPr>
        <w:t>。</w:t>
      </w:r>
      <w:r>
        <w:rPr>
          <w:rFonts w:hint="eastAsia" w:ascii="仿宋_GB2312" w:hAnsi="仿宋_GB2312" w:eastAsia="仿宋_GB2312" w:cs="仿宋_GB2312"/>
          <w:sz w:val="32"/>
          <w:szCs w:val="32"/>
          <w:lang w:val="en-US" w:eastAsia="zh-CN"/>
        </w:rPr>
        <w:t>全面启动“就业援助月”“春风行动”“金秋职潮”等专项服务活动，打出一套就业援助的“组合拳”，</w:t>
      </w:r>
      <w:r>
        <w:rPr>
          <w:rFonts w:hint="eastAsia" w:ascii="仿宋_GB2312" w:hAnsi="仿宋_GB2312" w:eastAsia="仿宋_GB2312" w:cs="仿宋_GB2312"/>
          <w:sz w:val="32"/>
          <w:szCs w:val="32"/>
        </w:rPr>
        <w:t>集中帮扶就业困难人员、农村劳动力、高校毕业生等群体就业创业，</w:t>
      </w:r>
      <w:r>
        <w:rPr>
          <w:rFonts w:hint="eastAsia" w:ascii="仿宋_GB2312" w:hAnsi="仿宋_GB2312" w:eastAsia="仿宋_GB2312" w:cs="仿宋_GB2312"/>
          <w:sz w:val="32"/>
          <w:szCs w:val="32"/>
          <w:lang w:val="en-US" w:eastAsia="zh-CN"/>
        </w:rPr>
        <w:t>助力求职者和招聘单位“双向奔赴”，持续促进高质量充分就业。</w:t>
      </w:r>
      <w:r>
        <w:rPr>
          <w:rFonts w:hint="eastAsia" w:ascii="仿宋_GB2312" w:hAnsi="仿宋_GB2312" w:eastAsia="仿宋_GB2312" w:cs="仿宋_GB2312"/>
          <w:spacing w:val="3"/>
          <w:kern w:val="2"/>
          <w:sz w:val="32"/>
          <w:szCs w:val="32"/>
          <w:lang w:val="en-US" w:eastAsia="zh-CN" w:bidi="ar-SA"/>
        </w:rPr>
        <w:t>先后有291家企业参会，提供家政、普工、销售、管理、技工、教育等就业岗位6730多个，进场求职3200余人。现场发放社会保险、失业保险、工伤保险及就业政策宣传资料6107多份，接受政策咨询520余人次，各企业接收求职简历900余份，达成就业意向519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b/>
          <w:bCs/>
          <w:kern w:val="0"/>
          <w:sz w:val="32"/>
          <w:szCs w:val="32"/>
        </w:rPr>
        <w:t>紧盯“高质量充分就业”“毕业即就业帮扶行动”“数字人社建设”等重点民生项目，大力推进民生可感行动。</w:t>
      </w:r>
      <w:r>
        <w:rPr>
          <w:rFonts w:hint="eastAsia" w:ascii="仿宋_GB2312" w:hAnsi="仿宋_GB2312" w:eastAsia="仿宋_GB2312" w:cs="仿宋_GB2312"/>
          <w:b w:val="0"/>
          <w:bCs/>
          <w:sz w:val="32"/>
          <w:szCs w:val="32"/>
          <w:lang w:val="en-US" w:eastAsia="zh-CN"/>
        </w:rPr>
        <w:t>市、区两级联动，开展2024年高校毕业生“毕业即就业”双选会暨“面对面”带岗活动，活动同步带岗60余家企业招聘岗位、10余家事业单位见习岗位，并开展职业交流指导，重点帮扶3名离校未就业高校毕业生，成功达成企业就业意向及签订就业见习协议10余人。同时，</w:t>
      </w:r>
      <w:r>
        <w:rPr>
          <w:rFonts w:hint="eastAsia" w:ascii="仿宋_GB2312" w:hAnsi="仿宋_GB2312" w:eastAsia="仿宋_GB2312" w:cs="仿宋_GB2312"/>
          <w:kern w:val="0"/>
          <w:sz w:val="32"/>
          <w:szCs w:val="32"/>
        </w:rPr>
        <w:t>出台《云溪区瞄准精细化工产业帮扶高校毕业生就业工作方案》，瞄准云溪区精细化工产业，拓岗位、优服务，把促进高校毕业生高质量充分就业工作摆在突出位置，切实帮助全区有就业意愿的未就业高校毕业生获得就业机会。根据未就业高校</w:t>
      </w:r>
      <w:bookmarkStart w:id="2" w:name="OLE_LINK8"/>
      <w:r>
        <w:rPr>
          <w:rFonts w:hint="eastAsia" w:ascii="仿宋_GB2312" w:hAnsi="仿宋_GB2312" w:eastAsia="仿宋_GB2312" w:cs="仿宋_GB2312"/>
          <w:kern w:val="0"/>
          <w:sz w:val="32"/>
          <w:szCs w:val="32"/>
        </w:rPr>
        <w:t>毕业生就业意愿实施个性化、差异化服务，对暂无就业意愿的，做好状态记录，及时跟进服务。截至目前，已帮扶未就业高校毕业生实现就业206人。</w:t>
      </w:r>
      <w:r>
        <w:rPr>
          <w:rFonts w:hint="eastAsia" w:ascii="仿宋_GB2312" w:hAnsi="仿宋_GB2312" w:eastAsia="仿宋_GB2312" w:cs="仿宋_GB2312"/>
          <w:b/>
          <w:bCs w:val="0"/>
          <w:kern w:val="2"/>
          <w:sz w:val="32"/>
          <w:szCs w:val="32"/>
          <w:lang w:val="en-US" w:eastAsia="zh-CN" w:bidi="ar-SA"/>
        </w:rPr>
        <w:t>四是落实政策</w:t>
      </w:r>
      <w:bookmarkStart w:id="3" w:name="OLE_LINK6"/>
      <w:r>
        <w:rPr>
          <w:rFonts w:hint="eastAsia" w:ascii="仿宋_GB2312" w:hAnsi="仿宋_GB2312" w:eastAsia="仿宋_GB2312" w:cs="仿宋_GB2312"/>
          <w:b/>
          <w:bCs w:val="0"/>
          <w:kern w:val="2"/>
          <w:sz w:val="32"/>
          <w:szCs w:val="32"/>
          <w:lang w:val="en-US" w:eastAsia="zh-CN" w:bidi="ar-SA"/>
        </w:rPr>
        <w:t>鼓励创业带动就业</w:t>
      </w:r>
      <w:bookmarkEnd w:id="3"/>
      <w:r>
        <w:rPr>
          <w:rFonts w:hint="eastAsia" w:ascii="仿宋_GB2312" w:hAnsi="仿宋_GB2312" w:eastAsia="仿宋_GB2312" w:cs="仿宋_GB2312"/>
          <w:b/>
          <w:bCs w:val="0"/>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今年来</w:t>
      </w:r>
      <w:r>
        <w:rPr>
          <w:rFonts w:hint="eastAsia" w:ascii="仿宋_GB2312" w:hAnsi="仿宋_GB2312" w:eastAsia="仿宋_GB2312" w:cs="仿宋_GB2312"/>
          <w:kern w:val="2"/>
          <w:sz w:val="32"/>
          <w:szCs w:val="32"/>
          <w:lang w:val="en-US" w:eastAsia="zh-CN" w:bidi="ar-SA"/>
        </w:rPr>
        <w:t>会同区财政局、合作银行、在各镇（街道）、村（社区）、园区企业深入开展调查研究，加强就业创业政策宣传，强化政策落实落地，切实打通政策宣传“最后一公里”。</w:t>
      </w:r>
      <w:r>
        <w:rPr>
          <w:rFonts w:hint="eastAsia" w:ascii="仿宋_GB2312" w:hAnsi="仿宋_GB2312" w:eastAsia="仿宋_GB2312" w:cs="仿宋_GB2312"/>
          <w:spacing w:val="3"/>
          <w:kern w:val="2"/>
          <w:sz w:val="32"/>
          <w:szCs w:val="32"/>
          <w:lang w:val="en-US" w:eastAsia="zh-CN" w:bidi="ar-SA"/>
        </w:rPr>
        <w:t>今年累计为6家创业主体和11家小微企业发放财政贴息创业贷款3400万元，切实为创业主体和</w:t>
      </w:r>
      <w:bookmarkStart w:id="4" w:name="OLE_LINK3"/>
      <w:r>
        <w:rPr>
          <w:rFonts w:hint="eastAsia" w:ascii="仿宋_GB2312" w:hAnsi="仿宋_GB2312" w:eastAsia="仿宋_GB2312" w:cs="仿宋_GB2312"/>
          <w:spacing w:val="3"/>
          <w:kern w:val="2"/>
          <w:sz w:val="32"/>
          <w:szCs w:val="32"/>
          <w:lang w:val="en-US" w:eastAsia="zh-CN" w:bidi="ar-SA"/>
        </w:rPr>
        <w:t>小微企业</w:t>
      </w:r>
      <w:bookmarkEnd w:id="4"/>
      <w:r>
        <w:rPr>
          <w:rFonts w:hint="eastAsia" w:ascii="仿宋_GB2312" w:hAnsi="仿宋_GB2312" w:eastAsia="仿宋_GB2312" w:cs="仿宋_GB2312"/>
          <w:spacing w:val="3"/>
          <w:kern w:val="2"/>
          <w:sz w:val="32"/>
          <w:szCs w:val="32"/>
          <w:lang w:val="en-US" w:eastAsia="zh-CN" w:bidi="ar-SA"/>
        </w:rPr>
        <w:t>解决资金短缺难题，鼓励创业带动就业340余人。</w:t>
      </w:r>
      <w:r>
        <w:rPr>
          <w:rFonts w:hint="eastAsia" w:ascii="仿宋_GB2312" w:hAnsi="仿宋_GB2312" w:eastAsia="仿宋_GB2312" w:cs="仿宋_GB2312"/>
          <w:b w:val="0"/>
          <w:bCs w:val="0"/>
          <w:sz w:val="32"/>
          <w:lang w:val="en-US" w:eastAsia="zh-CN"/>
        </w:rPr>
        <w:t>岳阳市就业服务中心表彰云溪区人社局就业服务中心超额完成创业贷款等各项工作任务。同时，岳阳市就业服务中心表扬云溪区人社局就业服务中心艾南同志在第三届全国公共就业服务专项业务竞赛湖南省选拔赛中，荣获职业指导三等奖；岳阳市2024年公共就业服务优秀项目成果展示交流活动职业指导先锋奖（一等奖）；刘娜同志的“毕业即就业”帮扶项目荣获岳阳市优秀就业服务案例。</w:t>
      </w:r>
    </w:p>
    <w:p w14:paraId="6062FCD1">
      <w:pPr>
        <w:keepNext w:val="0"/>
        <w:keepLines w:val="0"/>
        <w:pageBreakBefore w:val="0"/>
        <w:widowControl w:val="0"/>
        <w:shd w:val="clear" w:color="auto" w:fill="FFFFFF"/>
        <w:kinsoku/>
        <w:wordWrap/>
        <w:overflowPunct/>
        <w:bidi w:val="0"/>
        <w:adjustRightInd/>
        <w:snapToGrid/>
        <w:spacing w:beforeAutospacing="0" w:afterAutospacing="0" w:line="560" w:lineRule="exact"/>
        <w:ind w:firstLine="643"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zh-CN"/>
        </w:rPr>
        <w:t>社会保障有位置，</w:t>
      </w:r>
      <w:r>
        <w:rPr>
          <w:rFonts w:hint="eastAsia" w:ascii="仿宋_GB2312" w:hAnsi="仿宋_GB2312" w:eastAsia="仿宋_GB2312" w:cs="仿宋_GB2312"/>
          <w:b/>
          <w:sz w:val="32"/>
          <w:szCs w:val="32"/>
          <w:lang w:val="en-US" w:eastAsia="zh-CN"/>
        </w:rPr>
        <w:t>民生之基稳固如磐</w:t>
      </w:r>
    </w:p>
    <w:p w14:paraId="39CFDE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一是社保落实有力，任务成绩斐然。</w:t>
      </w:r>
      <w:r>
        <w:rPr>
          <w:rFonts w:hint="eastAsia" w:ascii="仿宋_GB2312" w:hAnsi="仿宋_GB2312" w:eastAsia="仿宋_GB2312" w:cs="仿宋_GB2312"/>
          <w:b w:val="0"/>
          <w:bCs w:val="0"/>
          <w:sz w:val="32"/>
          <w:szCs w:val="32"/>
          <w:lang w:val="en-US" w:eastAsia="zh-CN"/>
        </w:rPr>
        <w:t>大抓落实社会保险工作，今年</w:t>
      </w:r>
      <w:r>
        <w:rPr>
          <w:rFonts w:hint="eastAsia" w:ascii="仿宋_GB2312" w:hAnsi="仿宋_GB2312" w:eastAsia="仿宋_GB2312" w:cs="仿宋_GB2312"/>
          <w:sz w:val="32"/>
          <w:szCs w:val="32"/>
          <w:lang w:val="en-US" w:eastAsia="zh-CN"/>
        </w:rPr>
        <w:t>基金征缴任务完成率100%，企业职工基本养老保险、工伤保险、城乡居保、失业保险参保完成率均超额完成。</w:t>
      </w:r>
      <w:r>
        <w:rPr>
          <w:rFonts w:hint="eastAsia" w:ascii="仿宋_GB2312" w:hAnsi="仿宋_GB2312" w:eastAsia="仿宋_GB2312" w:cs="仿宋_GB2312"/>
          <w:sz w:val="32"/>
          <w:szCs w:val="32"/>
          <w:lang w:eastAsia="zh-CN"/>
        </w:rPr>
        <w:t>全年基本养老保险基金总收入40286万元，总支出约48404万元，</w:t>
      </w:r>
      <w:r>
        <w:rPr>
          <w:rFonts w:hint="eastAsia" w:ascii="仿宋_GB2312" w:hAnsi="仿宋_GB2312" w:eastAsia="仿宋_GB2312" w:cs="仿宋_GB2312"/>
          <w:sz w:val="32"/>
          <w:szCs w:val="32"/>
          <w:lang w:val="en-US" w:eastAsia="zh-CN"/>
        </w:rPr>
        <w:t>发放率100%，通过</w:t>
      </w:r>
      <w:r>
        <w:rPr>
          <w:rFonts w:hint="eastAsia" w:ascii="仿宋_GB2312" w:hAnsi="仿宋_GB2312" w:eastAsia="仿宋_GB2312" w:cs="仿宋_GB2312"/>
          <w:sz w:val="32"/>
          <w:szCs w:val="32"/>
          <w:lang w:eastAsia="zh-CN"/>
        </w:rPr>
        <w:t>加强基金征缴、优化社保服务等</w:t>
      </w:r>
      <w:r>
        <w:rPr>
          <w:rFonts w:hint="eastAsia" w:ascii="仿宋_GB2312" w:hAnsi="仿宋_GB2312" w:eastAsia="仿宋_GB2312" w:cs="仿宋_GB2312"/>
          <w:sz w:val="32"/>
          <w:szCs w:val="32"/>
          <w:lang w:val="en-US" w:eastAsia="zh-CN"/>
        </w:rPr>
        <w:t>举措</w:t>
      </w:r>
      <w:r>
        <w:rPr>
          <w:rFonts w:hint="eastAsia" w:ascii="仿宋_GB2312" w:hAnsi="仿宋_GB2312" w:eastAsia="仿宋_GB2312" w:cs="仿宋_GB2312"/>
          <w:sz w:val="32"/>
          <w:szCs w:val="32"/>
          <w:lang w:eastAsia="zh-CN"/>
        </w:rPr>
        <w:t>，进一步稳固了社会保障体系，为居民生活提供了</w:t>
      </w:r>
      <w:r>
        <w:rPr>
          <w:rFonts w:hint="eastAsia" w:ascii="仿宋_GB2312" w:hAnsi="仿宋_GB2312" w:eastAsia="仿宋_GB2312" w:cs="仿宋_GB2312"/>
          <w:sz w:val="32"/>
          <w:szCs w:val="32"/>
          <w:lang w:val="en-US" w:eastAsia="zh-CN"/>
        </w:rPr>
        <w:t>坚实</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lang w:val="en-US" w:eastAsia="zh-CN"/>
        </w:rPr>
        <w:t>特别是城乡居民养老保险，相比去年同比增幅达23.69%，全市排名第一。争取政府重视，协调部门镇街，农牧工、企业退休人员等一批历史遗留问题得以稳妥解决。</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bCs/>
          <w:sz w:val="32"/>
          <w:szCs w:val="32"/>
          <w:lang w:val="en-US" w:eastAsia="zh-CN"/>
        </w:rPr>
        <w:t>落实延迟退休政策改革工作。</w:t>
      </w:r>
      <w:r>
        <w:rPr>
          <w:rFonts w:hint="eastAsia" w:ascii="仿宋_GB2312" w:hAnsi="仿宋_GB2312" w:eastAsia="仿宋_GB2312" w:cs="仿宋_GB2312"/>
          <w:kern w:val="2"/>
          <w:sz w:val="32"/>
          <w:szCs w:val="32"/>
          <w:lang w:val="en-US" w:eastAsia="zh-CN" w:bidi="ar-SA"/>
        </w:rPr>
        <w:t>坚持以习近平新时代中国特色社会主义思想为指导，深入贯彻落实党中央关于渐进式延迟退休年龄的决策部署。综合考虑我区经济情况、人口结构、社会稳定等因素，通过进一步加强延退政策宣传，关注延退维稳重点人群，深入乡镇、社区，发放延退政策宣传资料，举行延退政策讲座，开通政策咨询热线，为群众进行政策解答，多渠道对延退政策进行宣传，扩大延退政策普及面，解决我区参保人员对延退政策改革的疑虑。以小步调整、弹性实施、分类推进、统筹兼顾为原则，落实好渐进式延迟退休年龄的决策部署，保证工作的顺利开展。</w:t>
      </w:r>
      <w:r>
        <w:rPr>
          <w:rFonts w:hint="eastAsia" w:ascii="仿宋_GB2312" w:hAnsi="仿宋_GB2312" w:eastAsia="仿宋_GB2312" w:cs="仿宋_GB2312"/>
          <w:b/>
          <w:bCs/>
          <w:sz w:val="32"/>
          <w:szCs w:val="32"/>
          <w:lang w:val="en-US" w:eastAsia="zh-CN"/>
        </w:rPr>
        <w:t>三是开展机保原试点个人部分退费。</w:t>
      </w:r>
      <w:r>
        <w:rPr>
          <w:rFonts w:hint="eastAsia" w:ascii="仿宋_GB2312" w:hAnsi="仿宋_GB2312" w:eastAsia="仿宋_GB2312" w:cs="仿宋_GB2312"/>
          <w:kern w:val="2"/>
          <w:sz w:val="32"/>
          <w:szCs w:val="32"/>
          <w:lang w:val="en-US" w:eastAsia="zh-CN" w:bidi="ar-SA"/>
        </w:rPr>
        <w:t>根据湘人社发〔2017〕17号文件，在2014年10月1日起，我省原试点办法废止，原试点范围内的参保、缴费、发放等经办工作相应停止。2024年社保中心已经将参加原试点的单位和个人，属于国家和省规定的改革后的新制度参保范围的机关事业单位及其编制内的在职人员和退休人员，共计3807人，按规定可计算为视同缴费年限期间的原试点个人缴费本息，一次性支付给本人，总计金额为2258万元。</w:t>
      </w:r>
      <w:r>
        <w:rPr>
          <w:rFonts w:hint="eastAsia" w:ascii="仿宋_GB2312" w:hAnsi="仿宋_GB2312" w:eastAsia="仿宋_GB2312" w:cs="仿宋_GB2312"/>
          <w:b/>
          <w:bCs/>
          <w:sz w:val="32"/>
          <w:szCs w:val="32"/>
          <w:lang w:val="en-US" w:eastAsia="zh-CN"/>
        </w:rPr>
        <w:t>四是基金安全至上，监管严格规范。</w:t>
      </w:r>
      <w:r>
        <w:rPr>
          <w:rFonts w:hint="eastAsia" w:ascii="仿宋_GB2312" w:hAnsi="仿宋_GB2312" w:eastAsia="仿宋_GB2312" w:cs="仿宋_GB2312"/>
          <w:b w:val="0"/>
          <w:bCs w:val="0"/>
          <w:sz w:val="32"/>
          <w:szCs w:val="32"/>
          <w:lang w:val="en-US" w:eastAsia="zh-CN"/>
        </w:rPr>
        <w:t>落实上级部署，社保中心推进基金安全工作。专班推进、制度保障，长效监管社保基金，整治多领、冒领问题。排查城居保问题，追回多领、冒领基金22773.51元（8人）；核查企保疑点数据，追回违规金额79480.02元（3人），严厉打击违法违规行为，维护基金安全。</w:t>
      </w:r>
      <w:r>
        <w:rPr>
          <w:rFonts w:hint="eastAsia" w:ascii="仿宋_GB2312" w:hAnsi="仿宋_GB2312" w:eastAsia="仿宋_GB2312" w:cs="仿宋_GB2312"/>
          <w:b/>
          <w:bCs/>
          <w:sz w:val="32"/>
          <w:szCs w:val="32"/>
          <w:lang w:val="en-US" w:eastAsia="zh-CN"/>
        </w:rPr>
        <w:t>五是宣传培训并行，服务温暖贴心。</w:t>
      </w:r>
      <w:r>
        <w:rPr>
          <w:rFonts w:hint="eastAsia" w:ascii="仿宋_GB2312" w:hAnsi="仿宋_GB2312" w:eastAsia="仿宋_GB2312" w:cs="仿宋_GB2312"/>
          <w:b w:val="0"/>
          <w:bCs w:val="0"/>
          <w:sz w:val="32"/>
          <w:szCs w:val="32"/>
          <w:lang w:val="en-US" w:eastAsia="zh-CN"/>
        </w:rPr>
        <w:t xml:space="preserve"> 打造“温暖居保”品牌，提升政策知晓率。组织社保协理员镇（街）集中培训5次，讲解业务流程、政策，解决问题；在镇（街）或人口集中村居（社区）开展宣传活动，动员参保缴费；结合重阳节慰问困难群体，提供政策宣讲、答疑等服务。</w:t>
      </w:r>
    </w:p>
    <w:p w14:paraId="6CE9395E">
      <w:pPr>
        <w:keepNext w:val="0"/>
        <w:keepLines w:val="0"/>
        <w:pageBreakBefore w:val="0"/>
        <w:widowControl w:val="0"/>
        <w:kinsoku/>
        <w:wordWrap/>
        <w:overflowPunct/>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4.劳动关系更和谐，稳定之弦强劲有力</w:t>
      </w:r>
    </w:p>
    <w:p w14:paraId="723B0F8A">
      <w:pPr>
        <w:keepNext w:val="0"/>
        <w:keepLines w:val="0"/>
        <w:pageBreakBefore w:val="0"/>
        <w:widowControl w:val="0"/>
        <w:kinsoku/>
        <w:wordWrap/>
        <w:overflowPunct/>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始终秉持“预防为主、调解优先”理念，妥善化解矛盾，保障劳动关系和谐。2024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年度受理来人来访投诉152起，电话投诉186起，12345投诉328起，市长信箱3起，信访交办10起，国务院欠薪平台线索211起，均妥善处理，办结率100%，累计追讨农民工工资5278.53万元，涉及人数3241人次。</w:t>
      </w:r>
      <w:r>
        <w:rPr>
          <w:rFonts w:hint="eastAsia" w:ascii="仿宋_GB2312" w:hAnsi="仿宋_GB2312" w:eastAsia="仿宋_GB2312" w:cs="仿宋_GB2312"/>
          <w:b/>
          <w:bCs/>
          <w:sz w:val="32"/>
          <w:szCs w:val="32"/>
          <w:lang w:val="en-US" w:eastAsia="zh-CN"/>
        </w:rPr>
        <w:t>一是调解办理多策并举强力度。</w:t>
      </w:r>
      <w:r>
        <w:rPr>
          <w:rFonts w:hint="eastAsia" w:ascii="仿宋_GB2312" w:hAnsi="仿宋_GB2312" w:eastAsia="仿宋_GB2312" w:cs="仿宋_GB2312"/>
          <w:sz w:val="32"/>
          <w:szCs w:val="32"/>
          <w:lang w:val="en-US" w:eastAsia="zh-CN"/>
        </w:rPr>
        <w:t>以调解为办案关键，贯穿全程。</w:t>
      </w:r>
      <w:r>
        <w:rPr>
          <w:rFonts w:hint="eastAsia" w:ascii="仿宋_GB2312" w:hAnsi="仿宋_GB2312" w:eastAsia="仿宋_GB2312" w:cs="仿宋_GB2312"/>
          <w:sz w:val="32"/>
          <w:szCs w:val="32"/>
          <w:lang w:eastAsia="zh-CN"/>
        </w:rPr>
        <w:t>积极构建</w:t>
      </w:r>
      <w:r>
        <w:rPr>
          <w:rFonts w:hint="eastAsia" w:ascii="仿宋_GB2312" w:hAnsi="仿宋_GB2312" w:eastAsia="仿宋_GB2312" w:cs="仿宋_GB2312"/>
          <w:sz w:val="32"/>
          <w:szCs w:val="32"/>
          <w:lang w:val="en-US" w:eastAsia="zh-CN"/>
        </w:rPr>
        <w:t>劳动争议</w:t>
      </w:r>
      <w:r>
        <w:rPr>
          <w:rFonts w:hint="eastAsia" w:ascii="仿宋_GB2312" w:hAnsi="仿宋_GB2312" w:eastAsia="仿宋_GB2312" w:cs="仿宋_GB2312"/>
          <w:sz w:val="32"/>
          <w:szCs w:val="32"/>
          <w:lang w:eastAsia="zh-CN"/>
        </w:rPr>
        <w:t>多元调解机制，全年办理劳动人事争议案件247件，调解成功125件，成功率高达66.8%。线上高效办结38件，</w:t>
      </w:r>
      <w:r>
        <w:rPr>
          <w:rFonts w:hint="eastAsia" w:ascii="仿宋_GB2312" w:hAnsi="仿宋_GB2312" w:eastAsia="仿宋_GB2312" w:cs="仿宋_GB2312"/>
          <w:sz w:val="32"/>
          <w:szCs w:val="32"/>
          <w:lang w:val="en-US" w:eastAsia="zh-CN"/>
        </w:rPr>
        <w:t>采用</w:t>
      </w:r>
      <w:r>
        <w:rPr>
          <w:rFonts w:hint="eastAsia" w:ascii="仿宋_GB2312" w:hAnsi="仿宋_GB2312" w:eastAsia="仿宋_GB2312" w:cs="仿宋_GB2312"/>
          <w:sz w:val="32"/>
          <w:szCs w:val="32"/>
          <w:lang w:eastAsia="zh-CN"/>
        </w:rPr>
        <w:t>“工会+人社”模式调解35件。建立仲裁监察联动机制，妥善处理拖欠农民工工资争议</w:t>
      </w:r>
      <w:r>
        <w:rPr>
          <w:rFonts w:hint="eastAsia" w:ascii="仿宋_GB2312" w:hAnsi="仿宋_GB2312" w:eastAsia="仿宋_GB2312" w:cs="仿宋_GB2312"/>
          <w:sz w:val="32"/>
          <w:szCs w:val="32"/>
          <w:lang w:val="en-US" w:eastAsia="zh-CN"/>
        </w:rPr>
        <w:t>案件（获锦旗1面），累计追讨农民工工资5278.53万元，涉及3241人次。通过严格执法，移送公安机关2起拒不支付劳动报酬案件，有效遏制欠薪行为。同时，创新源头治理，建立欠薪风险隐患摸排机制，指导27个政府、国企项目创建“无欠薪项目”，从源头上预防欠薪。</w:t>
      </w:r>
      <w:r>
        <w:rPr>
          <w:rFonts w:hint="eastAsia" w:ascii="仿宋_GB2312" w:hAnsi="仿宋_GB2312" w:eastAsia="仿宋_GB2312" w:cs="仿宋_GB2312"/>
          <w:b/>
          <w:bCs/>
          <w:sz w:val="32"/>
          <w:szCs w:val="32"/>
          <w:lang w:val="en-US" w:eastAsia="zh-CN"/>
        </w:rPr>
        <w:t>二是法制宣传多种途径普知识。</w:t>
      </w:r>
      <w:r>
        <w:rPr>
          <w:rFonts w:hint="eastAsia" w:ascii="仿宋_GB2312" w:hAnsi="仿宋_GB2312" w:eastAsia="仿宋_GB2312" w:cs="仿宋_GB2312"/>
          <w:sz w:val="32"/>
          <w:szCs w:val="32"/>
          <w:lang w:val="en-US" w:eastAsia="zh-CN"/>
        </w:rPr>
        <w:t>联合相关部门开展“春风行动”招聘与送法进企业活动，对企业提出的劳动领域的矛盾和难点问题进行</w:t>
      </w:r>
      <w:r>
        <w:rPr>
          <w:rFonts w:hint="eastAsia" w:ascii="仿宋_GB2312" w:hAnsi="仿宋_GB2312" w:eastAsia="仿宋_GB2312" w:cs="仿宋_GB2312"/>
          <w:sz w:val="32"/>
          <w:szCs w:val="32"/>
        </w:rPr>
        <w:t>逐一解答，给出解决建议、方案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将《保障农民工工资支付条例》、《致全区农民工朋友的一封信》以及宣传展板、宣传条幅，送到每一个项目现场，</w:t>
      </w:r>
      <w:r>
        <w:rPr>
          <w:rFonts w:hint="eastAsia" w:ascii="仿宋_GB2312" w:hAnsi="仿宋_GB2312" w:eastAsia="仿宋_GB2312" w:cs="仿宋_GB2312"/>
          <w:sz w:val="32"/>
          <w:szCs w:val="32"/>
          <w:lang w:val="en-US" w:eastAsia="zh-CN"/>
        </w:rPr>
        <w:t>提高企业和劳动者法律意识。办案中向双方宣传用工法律，促进调解。对非仲裁职权上访案件，做好法规指导与政策解释，出具“不予受理”文书。</w:t>
      </w:r>
      <w:r>
        <w:rPr>
          <w:rFonts w:hint="eastAsia" w:ascii="仿宋_GB2312" w:hAnsi="仿宋_GB2312" w:eastAsia="仿宋_GB2312" w:cs="仿宋_GB2312"/>
          <w:b/>
          <w:bCs/>
          <w:sz w:val="32"/>
          <w:szCs w:val="32"/>
          <w:lang w:val="en-US" w:eastAsia="zh-CN"/>
        </w:rPr>
        <w:t>三是服务大局多方协调保稳定。</w:t>
      </w:r>
      <w:r>
        <w:rPr>
          <w:rFonts w:hint="eastAsia" w:ascii="仿宋_GB2312" w:hAnsi="仿宋_GB2312" w:eastAsia="仿宋_GB2312" w:cs="仿宋_GB2312"/>
          <w:sz w:val="32"/>
          <w:szCs w:val="32"/>
          <w:lang w:val="en-US" w:eastAsia="zh-CN"/>
        </w:rPr>
        <w:t>积极服务区政府重点工作，2次指导处理华浩污水处理厂劳动争议；协助处理区市场监督管理局退休复退军人劳动争议信访问题；协调岳化医院欠薪问题，维护稳定。妥善处理市政府12345工单378件（欠薪270件、社保99件、工伤等9件），市长信箱信访件11件，线上受理信访20件，线下处理54人欠薪上访问题。</w:t>
      </w:r>
    </w:p>
    <w:p w14:paraId="729605F5">
      <w:pPr>
        <w:keepNext w:val="0"/>
        <w:keepLines w:val="0"/>
        <w:pageBreakBefore w:val="0"/>
        <w:widowControl w:val="0"/>
        <w:kinsoku/>
        <w:wordWrap/>
        <w:overflowPunct/>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5.突出</w:t>
      </w:r>
      <w:r>
        <w:rPr>
          <w:rFonts w:hint="eastAsia" w:ascii="仿宋_GB2312" w:hAnsi="仿宋_GB2312" w:eastAsia="仿宋_GB2312" w:cs="仿宋_GB2312"/>
          <w:b/>
          <w:bCs/>
          <w:sz w:val="32"/>
          <w:szCs w:val="32"/>
          <w:lang w:eastAsia="zh-CN"/>
        </w:rPr>
        <w:t>聚才引智并重</w:t>
      </w:r>
      <w:r>
        <w:rPr>
          <w:rFonts w:hint="eastAsia" w:ascii="仿宋_GB2312" w:hAnsi="仿宋_GB2312" w:eastAsia="仿宋_GB2312" w:cs="仿宋_GB2312"/>
          <w:b/>
          <w:bCs/>
          <w:sz w:val="32"/>
          <w:szCs w:val="32"/>
          <w:lang w:val="en-US" w:eastAsia="zh-CN"/>
        </w:rPr>
        <w:t>，强化人才支撑。</w:t>
      </w:r>
      <w:r>
        <w:rPr>
          <w:rFonts w:hint="eastAsia" w:ascii="仿宋_GB2312" w:hAnsi="仿宋_GB2312" w:eastAsia="仿宋_GB2312" w:cs="仿宋_GB2312"/>
          <w:sz w:val="32"/>
          <w:szCs w:val="32"/>
          <w:lang w:eastAsia="zh-CN"/>
        </w:rPr>
        <w:t>深入实施“人才新政45条”，成功引进36名优秀人才，择优完善“三类人员”编制</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。首次自行组织完成中小学一级教师和基教中级评审，提升教育人才专业水平。加强档案管理，审核入档资料68份，完成所有事业单位在岗在编人员档案初审，</w:t>
      </w:r>
      <w:r>
        <w:rPr>
          <w:rFonts w:hint="eastAsia" w:ascii="仿宋_GB2312" w:hAnsi="仿宋_GB2312" w:eastAsia="仿宋_GB2312" w:cs="仿宋_GB2312"/>
          <w:sz w:val="32"/>
          <w:szCs w:val="32"/>
          <w:lang w:val="en-US" w:eastAsia="zh-CN"/>
        </w:rPr>
        <w:t>分批次开展近5年退休人员档案会审。职级晋升、学历提升、工资调整等服务工作有条不紊。</w:t>
      </w:r>
    </w:p>
    <w:bookmarkEnd w:id="2"/>
    <w:p w14:paraId="00E01D1F">
      <w:pPr>
        <w:keepNext w:val="0"/>
        <w:keepLines w:val="0"/>
        <w:pageBreakBefore w:val="0"/>
        <w:widowControl w:val="0"/>
        <w:kinsoku/>
        <w:wordWrap/>
        <w:overflowPunct/>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zh-CN"/>
        </w:rPr>
        <w:t>二、</w:t>
      </w:r>
      <w:r>
        <w:rPr>
          <w:rFonts w:hint="eastAsia" w:ascii="黑体" w:hAnsi="黑体" w:eastAsia="黑体" w:cs="黑体"/>
          <w:sz w:val="32"/>
          <w:szCs w:val="32"/>
          <w:lang w:val="en-US" w:eastAsia="zh-CN"/>
        </w:rPr>
        <w:t>2025年工作思路</w:t>
      </w:r>
    </w:p>
    <w:p w14:paraId="666F325D">
      <w:pPr>
        <w:keepNext w:val="0"/>
        <w:keepLines w:val="0"/>
        <w:pageBreakBefore w:val="0"/>
        <w:widowControl w:val="0"/>
        <w:tabs>
          <w:tab w:val="left" w:pos="522"/>
        </w:tabs>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总体工作思路：坚持党建引领、优先人才支撑；突出改革先行、强化民生保障；维护公平正义、促进社会和谐。</w:t>
      </w:r>
    </w:p>
    <w:p w14:paraId="5A19852A">
      <w:pPr>
        <w:keepNext w:val="0"/>
        <w:keepLines w:val="0"/>
        <w:pageBreakBefore w:val="0"/>
        <w:widowControl w:val="0"/>
        <w:tabs>
          <w:tab w:val="left" w:pos="522"/>
        </w:tabs>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1.抓实“第一民生”就业工作。</w:t>
      </w:r>
      <w:r>
        <w:rPr>
          <w:rFonts w:hint="eastAsia" w:ascii="仿宋_GB2312" w:hAnsi="仿宋_GB2312" w:eastAsia="仿宋_GB2312" w:cs="仿宋_GB2312"/>
          <w:sz w:val="32"/>
          <w:lang w:val="en-US" w:eastAsia="zh-CN"/>
        </w:rPr>
        <w:t>认真领会总书记关于就业工作的指示精神，立足云溪产业发展实际，以思路创新刷新就业工作质效。</w:t>
      </w:r>
      <w:r>
        <w:rPr>
          <w:rFonts w:hint="eastAsia" w:ascii="仿宋_GB2312" w:hAnsi="仿宋_GB2312" w:eastAsia="仿宋_GB2312" w:cs="仿宋_GB2312"/>
          <w:b/>
          <w:bCs/>
          <w:sz w:val="32"/>
          <w:lang w:val="en-US" w:eastAsia="zh-CN"/>
        </w:rPr>
        <w:t>一是订单式技能培训更具实效性。</w:t>
      </w:r>
      <w:r>
        <w:rPr>
          <w:rFonts w:hint="eastAsia" w:ascii="仿宋_GB2312" w:hAnsi="仿宋_GB2312" w:eastAsia="仿宋_GB2312" w:cs="仿宋_GB2312"/>
          <w:sz w:val="32"/>
          <w:u w:val="none"/>
        </w:rPr>
        <w:t>针对不同用工需求</w:t>
      </w:r>
      <w:r>
        <w:rPr>
          <w:rFonts w:hint="eastAsia" w:ascii="仿宋_GB2312" w:hAnsi="仿宋_GB2312" w:eastAsia="仿宋_GB2312" w:cs="仿宋_GB2312"/>
          <w:sz w:val="32"/>
        </w:rPr>
        <w:t>，通过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菜单式</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精准培训和</w:t>
      </w:r>
      <w:r>
        <w:rPr>
          <w:rFonts w:hint="eastAsia" w:ascii="仿宋_GB2312" w:hAnsi="仿宋_GB2312" w:eastAsia="仿宋_GB2312" w:cs="仿宋_GB2312"/>
          <w:sz w:val="32"/>
          <w:u w:val="none"/>
        </w:rPr>
        <w:t>三</w:t>
      </w:r>
      <w:r>
        <w:rPr>
          <w:rFonts w:hint="eastAsia" w:ascii="仿宋_GB2312" w:hAnsi="仿宋_GB2312" w:eastAsia="仿宋_GB2312" w:cs="仿宋_GB2312"/>
          <w:sz w:val="32"/>
          <w:u w:val="none"/>
          <w:lang w:val="en-US" w:eastAsia="zh-CN"/>
        </w:rPr>
        <w:t>方</w:t>
      </w:r>
      <w:r>
        <w:rPr>
          <w:rFonts w:hint="eastAsia" w:ascii="仿宋_GB2312" w:hAnsi="仿宋_GB2312" w:eastAsia="仿宋_GB2312" w:cs="仿宋_GB2312"/>
          <w:sz w:val="32"/>
        </w:rPr>
        <w:t>服务，</w:t>
      </w:r>
      <w:r>
        <w:rPr>
          <w:rFonts w:hint="eastAsia" w:ascii="仿宋_GB2312" w:hAnsi="仿宋_GB2312" w:eastAsia="仿宋_GB2312" w:cs="仿宋_GB2312"/>
          <w:sz w:val="32"/>
          <w:u w:val="none"/>
        </w:rPr>
        <w:t>精准</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就业人</w:t>
      </w:r>
      <w:r>
        <w:rPr>
          <w:rFonts w:hint="eastAsia" w:ascii="仿宋_GB2312" w:hAnsi="仿宋_GB2312" w:eastAsia="仿宋_GB2312" w:cs="仿宋_GB2312"/>
          <w:sz w:val="32"/>
          <w:szCs w:val="32"/>
        </w:rPr>
        <w:t>员的就业技能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二是突出重点全面兼顾各群体就业</w:t>
      </w:r>
      <w:r>
        <w:rPr>
          <w:rFonts w:hint="eastAsia" w:ascii="仿宋_GB2312" w:hAnsi="仿宋_GB2312" w:eastAsia="仿宋_GB2312" w:cs="仿宋_GB2312"/>
          <w:b/>
          <w:bCs/>
          <w:sz w:val="32"/>
          <w:lang w:val="en-US" w:eastAsia="zh-CN"/>
        </w:rPr>
        <w:t>服务。</w:t>
      </w:r>
      <w:r>
        <w:rPr>
          <w:rFonts w:hint="eastAsia" w:ascii="仿宋_GB2312" w:hAnsi="仿宋_GB2312" w:eastAsia="仿宋_GB2312" w:cs="仿宋_GB2312"/>
          <w:sz w:val="32"/>
          <w:lang w:val="en-US" w:eastAsia="zh-CN"/>
        </w:rPr>
        <w:t>进一步发挥好“岳阳快聘”就业服务平台作用，搭建产业升级、毕业即就业、困难群体家门口就业综合服务平台，</w:t>
      </w:r>
      <w:r>
        <w:rPr>
          <w:rFonts w:hint="eastAsia" w:ascii="仿宋_GB2312" w:hAnsi="仿宋_GB2312" w:eastAsia="仿宋_GB2312" w:cs="仿宋_GB2312"/>
          <w:sz w:val="32"/>
          <w:szCs w:val="32"/>
        </w:rPr>
        <w:t>确保“零就业”家庭动态清零</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b/>
          <w:bCs/>
          <w:sz w:val="32"/>
          <w:lang w:val="en-US" w:eastAsia="zh-CN"/>
        </w:rPr>
        <w:t>三是创新全过程就业服务管理。</w:t>
      </w:r>
      <w:r>
        <w:rPr>
          <w:rFonts w:hint="eastAsia" w:ascii="仿宋_GB2312" w:hAnsi="仿宋_GB2312" w:eastAsia="仿宋_GB2312" w:cs="仿宋_GB2312"/>
          <w:sz w:val="32"/>
          <w:lang w:val="en-US" w:eastAsia="zh-CN"/>
        </w:rPr>
        <w:t>尝试“技能培训—就业招聘—用工回访—再培训—再就业”工作模式，全面提高就业质量。</w:t>
      </w:r>
    </w:p>
    <w:p w14:paraId="6C16D475">
      <w:pPr>
        <w:keepNext w:val="0"/>
        <w:keepLines w:val="0"/>
        <w:pageBreakBefore w:val="0"/>
        <w:widowControl w:val="0"/>
        <w:tabs>
          <w:tab w:val="left" w:pos="522"/>
        </w:tabs>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2.强化“第一支撑”人才保障。</w:t>
      </w:r>
      <w:r>
        <w:rPr>
          <w:rFonts w:hint="eastAsia" w:ascii="仿宋_GB2312" w:hAnsi="仿宋_GB2312" w:eastAsia="仿宋_GB2312" w:cs="仿宋_GB2312"/>
          <w:b/>
          <w:bCs/>
          <w:sz w:val="32"/>
          <w:lang w:val="en-US" w:eastAsia="zh-CN" w:bidi="ar-SA"/>
        </w:rPr>
        <w:t>一是审时度势合理把握用人规模。</w:t>
      </w:r>
      <w:r>
        <w:rPr>
          <w:rFonts w:hint="eastAsia" w:ascii="仿宋_GB2312" w:hAnsi="仿宋_GB2312" w:eastAsia="仿宋_GB2312" w:cs="仿宋_GB2312"/>
          <w:sz w:val="32"/>
          <w:lang w:val="en-US" w:eastAsia="zh-CN"/>
        </w:rPr>
        <w:t>冷静分析国家人口出生形势，结合云溪实际，在教师队伍管理上要统筹考虑今后生源和财政压力，多管齐下抓队伍管理出效益，适度控制教师列编规模。</w:t>
      </w:r>
      <w:r>
        <w:rPr>
          <w:rFonts w:hint="eastAsia" w:ascii="仿宋_GB2312" w:hAnsi="仿宋_GB2312" w:eastAsia="仿宋_GB2312" w:cs="仿宋_GB2312"/>
          <w:b/>
          <w:bCs/>
          <w:sz w:val="32"/>
          <w:lang w:val="en-US" w:eastAsia="zh-CN" w:bidi="ar-SA"/>
        </w:rPr>
        <w:t>二是突出重点领域高端人才引进。</w:t>
      </w:r>
      <w:r>
        <w:rPr>
          <w:rFonts w:hint="eastAsia" w:ascii="仿宋_GB2312" w:hAnsi="仿宋_GB2312" w:eastAsia="仿宋_GB2312" w:cs="仿宋_GB2312"/>
          <w:sz w:val="32"/>
          <w:lang w:val="en-US" w:eastAsia="zh-CN"/>
        </w:rPr>
        <w:t>立足产业发展、中试基地、安全环保、园区管理等重点领域的人才需要，既要以专项编制“周转池”、合理薪酬制度等政策来留人，又要多方位解决好高端人才“吃住行读”等宜居问题来</w:t>
      </w:r>
      <w:r>
        <w:rPr>
          <w:rFonts w:hint="eastAsia" w:ascii="仿宋_GB2312" w:hAnsi="仿宋_GB2312" w:eastAsia="仿宋_GB2312" w:cs="仿宋_GB2312"/>
          <w:kern w:val="2"/>
          <w:sz w:val="32"/>
          <w:szCs w:val="32"/>
          <w:lang w:val="en-US" w:eastAsia="zh-CN" w:bidi="ar-SA"/>
        </w:rPr>
        <w:t>提高人才“留云率”。</w:t>
      </w:r>
      <w:r>
        <w:rPr>
          <w:rFonts w:hint="eastAsia" w:ascii="仿宋_GB2312" w:hAnsi="仿宋_GB2312" w:eastAsia="仿宋_GB2312" w:cs="仿宋_GB2312"/>
          <w:b/>
          <w:bCs/>
          <w:sz w:val="32"/>
          <w:lang w:val="en-US" w:eastAsia="zh-CN" w:bidi="ar-SA"/>
        </w:rPr>
        <w:t>三是因岗而异赋权灵活用人。</w:t>
      </w:r>
      <w:r>
        <w:rPr>
          <w:rFonts w:hint="eastAsia" w:ascii="仿宋_GB2312" w:hAnsi="仿宋_GB2312" w:eastAsia="仿宋_GB2312" w:cs="仿宋_GB2312"/>
          <w:kern w:val="2"/>
          <w:sz w:val="32"/>
          <w:szCs w:val="32"/>
          <w:lang w:val="en-US" w:eastAsia="zh-CN" w:bidi="ar-SA"/>
        </w:rPr>
        <w:t>在不违反政策底线的基础上，给予不同单位、不同岗位更灵活用人政策。包括</w:t>
      </w:r>
      <w:r>
        <w:rPr>
          <w:rFonts w:hint="eastAsia" w:ascii="仿宋_GB2312" w:hAnsi="仿宋_GB2312" w:eastAsia="仿宋_GB2312" w:cs="仿宋_GB2312"/>
          <w:sz w:val="32"/>
          <w:lang w:val="en-US" w:eastAsia="zh-CN" w:bidi="ar-SA"/>
        </w:rPr>
        <w:t>支持订单引才、柔性引才、兼职顾问等形式用人。因人而异组织公开招聘、公开选调、四海揽才，尽可能人岗相适、人尽其才。</w:t>
      </w:r>
    </w:p>
    <w:p w14:paraId="083CAC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3.构建一体化和谐劳动关系。</w:t>
      </w:r>
      <w:r>
        <w:rPr>
          <w:rFonts w:hint="eastAsia" w:ascii="仿宋_GB2312" w:hAnsi="仿宋_GB2312" w:eastAsia="仿宋_GB2312" w:cs="仿宋_GB2312"/>
          <w:b/>
          <w:bCs/>
          <w:sz w:val="32"/>
          <w:lang w:val="en-US" w:eastAsia="zh-CN"/>
        </w:rPr>
        <w:t>一是打破“围墙”壁垒一起做工作。</w:t>
      </w:r>
      <w:r>
        <w:rPr>
          <w:rFonts w:hint="eastAsia" w:ascii="仿宋_GB2312" w:hAnsi="仿宋_GB2312" w:eastAsia="仿宋_GB2312" w:cs="仿宋_GB2312"/>
          <w:sz w:val="32"/>
          <w:lang w:val="en-US" w:eastAsia="zh-CN"/>
        </w:rPr>
        <w:t>针对大厂内部施工项目政策宣传进不去、劳动监察检查不配合、务工人员欠薪找政府（部门）的被动局面，争取政府重视，督促辖区内各重点工程落实制度要求、配合劳动监察工作。</w:t>
      </w:r>
      <w:r>
        <w:rPr>
          <w:rFonts w:hint="eastAsia" w:ascii="仿宋_GB2312" w:hAnsi="仿宋_GB2312" w:eastAsia="仿宋_GB2312" w:cs="仿宋_GB2312"/>
          <w:b/>
          <w:bCs/>
          <w:kern w:val="2"/>
          <w:sz w:val="32"/>
          <w:szCs w:val="32"/>
          <w:lang w:val="en-US" w:eastAsia="zh-CN" w:bidi="ar-SA"/>
        </w:rPr>
        <w:t>二是强化刚性约束源头防治。</w:t>
      </w:r>
      <w:r>
        <w:rPr>
          <w:rFonts w:hint="eastAsia" w:ascii="仿宋_GB2312" w:hAnsi="仿宋_GB2312" w:eastAsia="仿宋_GB2312" w:cs="仿宋_GB2312"/>
          <w:sz w:val="32"/>
          <w:szCs w:val="32"/>
          <w:lang w:val="en-US" w:eastAsia="zh-CN"/>
        </w:rPr>
        <w:t>包括督促在建项目落实农民工工资保证制度</w:t>
      </w:r>
      <w:r>
        <w:rPr>
          <w:rFonts w:hint="eastAsia" w:ascii="仿宋_GB2312" w:hAnsi="仿宋_GB2312" w:eastAsia="仿宋_GB2312" w:cs="仿宋_GB2312"/>
          <w:sz w:val="32"/>
          <w:szCs w:val="32"/>
        </w:rPr>
        <w:t>，确保每一个建设项目分账制、实名制、专户制、总包单位银行代发制等各项根治欠薪制度落实</w:t>
      </w:r>
      <w:r>
        <w:rPr>
          <w:rFonts w:hint="eastAsia" w:ascii="仿宋_GB2312" w:hAnsi="仿宋_GB2312" w:eastAsia="仿宋_GB2312" w:cs="仿宋_GB2312"/>
          <w:sz w:val="32"/>
          <w:szCs w:val="32"/>
          <w:lang w:val="en-US" w:eastAsia="zh-CN"/>
        </w:rPr>
        <w:t>；确保在建项目开设农民工工资专用账户，要求建设工程项目全部落实保证金缴纳及专户开设；全面落实工程项目农民工工伤保险。结合工伤保险业务下沉，严格落实工伤保险缴纳制度，确保工程建设</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农民工</w:t>
      </w:r>
      <w:r>
        <w:rPr>
          <w:rFonts w:hint="eastAsia" w:ascii="仿宋_GB2312" w:hAnsi="仿宋_GB2312" w:eastAsia="仿宋_GB2312" w:cs="仿宋_GB2312"/>
          <w:sz w:val="32"/>
          <w:szCs w:val="32"/>
          <w:lang w:eastAsia="zh-CN"/>
        </w:rPr>
        <w:t>工伤保险参保率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b/>
          <w:bCs/>
          <w:sz w:val="32"/>
          <w:szCs w:val="32"/>
          <w:lang w:val="en-US" w:eastAsia="zh-CN"/>
        </w:rPr>
        <w:t>三是强化部门合力维护和谐稳定。</w:t>
      </w:r>
      <w:r>
        <w:rPr>
          <w:rFonts w:hint="eastAsia" w:ascii="仿宋_GB2312" w:hAnsi="仿宋_GB2312" w:eastAsia="仿宋_GB2312" w:cs="仿宋_GB2312"/>
          <w:sz w:val="32"/>
          <w:szCs w:val="32"/>
          <w:lang w:val="en-US" w:eastAsia="zh-CN"/>
        </w:rPr>
        <w:t>己内酰胺项目多角债、大批量欠薪问题至今未了（信访、案件比项目落地前增加300%）。联想乙烯项目落地，包括大厂改制企业（如岳化医院）劳动争议调解，因全区机构改革，工作协调机构取消，仅靠一个仲裁院或人社局无法调处，需要区级层面牵头，联合各部门力量多措并举综合施策。</w:t>
      </w:r>
    </w:p>
    <w:p w14:paraId="4E5D3C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4.纵深推进改革创新强管理。一是</w:t>
      </w:r>
      <w:r>
        <w:rPr>
          <w:rFonts w:hint="eastAsia" w:ascii="仿宋_GB2312" w:hAnsi="仿宋_GB2312" w:eastAsia="仿宋_GB2312" w:cs="仿宋_GB2312"/>
          <w:sz w:val="32"/>
          <w:szCs w:val="32"/>
          <w:lang w:val="en-US" w:eastAsia="zh-CN"/>
        </w:rPr>
        <w:t>延迟退休改革涉及不同群体不同利益诉求，省、市具体操作性文件没有下来，后续还有大量的政策宣传、配套改革、遗留问题处理工作要做，人社部门牵头，还需各单位共同配合，特别是涉及一些单位退休人员退休前以各种理由拒退的，要一起做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全市工伤保险工作根据国家、省、市统一部署，经办业务全部下沉到区本级办理，既要人要钱办事，确保“一事双岗双审”不出问题，还要配套出台一系列政策措施来保障政府不当（少当）被告，尽可能财政少配套（工伤基金理赔费全省统筹后，省区8:2，不够部分要地方财政承担）。</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新港区欠缴我区失地农民社会保障金问题有待落实，还需高层继续对接争取。</w:t>
      </w:r>
    </w:p>
    <w:p w14:paraId="7CE4FBB9">
      <w:pPr>
        <w:pStyle w:val="10"/>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14:paraId="0D3F185C">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一是公用经费不足。财政按在编人数安排的公用经费远远不能满足工作需要。二是</w:t>
      </w:r>
      <w:r>
        <w:rPr>
          <w:rFonts w:hint="eastAsia" w:ascii="仿宋_GB2312" w:hAnsi="仿宋_GB2312" w:eastAsia="仿宋_GB2312" w:cs="仿宋_GB2312"/>
          <w:b w:val="0"/>
          <w:bCs/>
          <w:sz w:val="32"/>
          <w:szCs w:val="32"/>
          <w:lang w:val="en-US" w:eastAsia="zh-CN"/>
        </w:rPr>
        <w:t>预算编制的合理、</w:t>
      </w:r>
      <w:r>
        <w:rPr>
          <w:rFonts w:hint="eastAsia" w:ascii="仿宋_GB2312" w:hAnsi="仿宋_GB2312" w:eastAsia="仿宋_GB2312" w:cs="仿宋_GB2312"/>
          <w:b w:val="0"/>
          <w:bCs/>
          <w:sz w:val="32"/>
          <w:szCs w:val="32"/>
          <w:lang w:eastAsia="zh-CN"/>
        </w:rPr>
        <w:t>精准</w:t>
      </w:r>
      <w:r>
        <w:rPr>
          <w:rFonts w:hint="eastAsia" w:ascii="仿宋_GB2312" w:hAnsi="仿宋_GB2312" w:eastAsia="仿宋_GB2312" w:cs="仿宋_GB2312"/>
          <w:b w:val="0"/>
          <w:bCs/>
          <w:sz w:val="32"/>
          <w:szCs w:val="32"/>
          <w:lang w:val="en-US" w:eastAsia="zh-CN"/>
        </w:rPr>
        <w:t>性需要提高，</w:t>
      </w:r>
      <w:r>
        <w:rPr>
          <w:rFonts w:hint="eastAsia" w:ascii="仿宋_GB2312" w:hAnsi="仿宋_GB2312" w:eastAsia="仿宋_GB2312" w:cs="仿宋_GB2312"/>
          <w:b w:val="0"/>
          <w:bCs/>
          <w:sz w:val="32"/>
          <w:szCs w:val="32"/>
          <w:lang w:eastAsia="zh-CN"/>
        </w:rPr>
        <w:t>同时财政部门在年初预算审批的时候，应尽量避免预算漏项的情况发生，对单项预算尽量做到科学化预算，降低年终调整预算的金额</w:t>
      </w:r>
      <w:r>
        <w:rPr>
          <w:rFonts w:hint="eastAsia" w:ascii="仿宋_GB2312" w:hAnsi="仿宋_GB2312" w:eastAsia="仿宋_GB2312" w:cs="仿宋_GB2312"/>
          <w:b w:val="0"/>
          <w:bCs/>
          <w:sz w:val="32"/>
          <w:szCs w:val="32"/>
          <w:lang w:val="en-US" w:eastAsia="zh-CN"/>
        </w:rPr>
        <w:t>;三是</w:t>
      </w:r>
      <w:r>
        <w:rPr>
          <w:rFonts w:hint="eastAsia" w:ascii="仿宋_GB2312" w:hAnsi="仿宋_GB2312" w:eastAsia="仿宋_GB2312" w:cs="仿宋_GB2312"/>
          <w:b w:val="0"/>
          <w:bCs/>
          <w:sz w:val="32"/>
          <w:szCs w:val="32"/>
        </w:rPr>
        <w:t>预算编制有待更完整、科学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政策性调整和</w:t>
      </w:r>
      <w:r>
        <w:rPr>
          <w:rFonts w:hint="eastAsia" w:ascii="仿宋_GB2312" w:hAnsi="仿宋_GB2312" w:eastAsia="仿宋_GB2312" w:cs="仿宋_GB2312"/>
          <w:b w:val="0"/>
          <w:bCs/>
          <w:sz w:val="32"/>
          <w:szCs w:val="32"/>
          <w:lang w:eastAsia="zh-CN"/>
        </w:rPr>
        <w:t>增加的特殊项目</w:t>
      </w:r>
      <w:r>
        <w:rPr>
          <w:rFonts w:hint="eastAsia" w:ascii="仿宋_GB2312" w:hAnsi="仿宋_GB2312" w:eastAsia="仿宋_GB2312" w:cs="仿宋_GB2312"/>
          <w:b w:val="0"/>
          <w:bCs/>
          <w:sz w:val="32"/>
          <w:szCs w:val="32"/>
        </w:rPr>
        <w:t>未能进入年初预算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年度预算执行中单位人</w:t>
      </w:r>
      <w:r>
        <w:rPr>
          <w:rFonts w:hint="eastAsia" w:ascii="仿宋_GB2312" w:hAnsi="仿宋_GB2312" w:eastAsia="仿宋_GB2312" w:cs="仿宋_GB2312"/>
          <w:b w:val="0"/>
          <w:bCs/>
          <w:sz w:val="32"/>
          <w:szCs w:val="32"/>
          <w:lang w:eastAsia="zh-CN"/>
        </w:rPr>
        <w:t>员</w:t>
      </w:r>
      <w:r>
        <w:rPr>
          <w:rFonts w:hint="eastAsia" w:ascii="仿宋_GB2312" w:hAnsi="仿宋_GB2312" w:eastAsia="仿宋_GB2312" w:cs="仿宋_GB2312"/>
          <w:b w:val="0"/>
          <w:bCs/>
          <w:sz w:val="32"/>
          <w:szCs w:val="32"/>
        </w:rPr>
        <w:t>变</w:t>
      </w:r>
      <w:r>
        <w:rPr>
          <w:rFonts w:hint="eastAsia" w:ascii="仿宋_GB2312" w:hAnsi="仿宋_GB2312" w:eastAsia="仿宋_GB2312" w:cs="仿宋_GB2312"/>
          <w:b w:val="0"/>
          <w:bCs/>
          <w:sz w:val="32"/>
          <w:szCs w:val="32"/>
          <w:lang w:eastAsia="zh-CN"/>
        </w:rPr>
        <w:t>动</w:t>
      </w:r>
      <w:r>
        <w:rPr>
          <w:rFonts w:hint="eastAsia" w:ascii="仿宋_GB2312" w:hAnsi="仿宋_GB2312" w:eastAsia="仿宋_GB2312" w:cs="仿宋_GB2312"/>
          <w:b w:val="0"/>
          <w:bCs/>
          <w:sz w:val="32"/>
          <w:szCs w:val="32"/>
        </w:rPr>
        <w:t>和事权调整，导致</w:t>
      </w:r>
      <w:r>
        <w:rPr>
          <w:rFonts w:hint="eastAsia" w:ascii="仿宋_GB2312" w:hAnsi="仿宋_GB2312" w:eastAsia="仿宋_GB2312" w:cs="仿宋_GB2312"/>
          <w:b w:val="0"/>
          <w:bCs/>
          <w:sz w:val="32"/>
          <w:szCs w:val="32"/>
          <w:lang w:eastAsia="zh-CN"/>
        </w:rPr>
        <w:t>预算有</w:t>
      </w:r>
      <w:r>
        <w:rPr>
          <w:rFonts w:hint="eastAsia" w:ascii="仿宋_GB2312" w:hAnsi="仿宋_GB2312" w:eastAsia="仿宋_GB2312" w:cs="仿宋_GB2312"/>
          <w:b w:val="0"/>
          <w:bCs/>
          <w:sz w:val="32"/>
          <w:szCs w:val="32"/>
          <w:lang w:val="en-US" w:eastAsia="zh-CN"/>
        </w:rPr>
        <w:t>差异，日常公用经费不足、与实际支出相差较大，</w:t>
      </w:r>
      <w:r>
        <w:rPr>
          <w:rFonts w:hint="eastAsia" w:ascii="仿宋_GB2312" w:hAnsi="仿宋_GB2312" w:eastAsia="仿宋_GB2312" w:cs="仿宋_GB2312"/>
          <w:b w:val="0"/>
          <w:bCs/>
          <w:sz w:val="32"/>
          <w:szCs w:val="32"/>
          <w:lang w:eastAsia="zh-CN"/>
        </w:rPr>
        <w:t>部分预算科目</w:t>
      </w:r>
      <w:r>
        <w:rPr>
          <w:rFonts w:hint="eastAsia" w:ascii="仿宋_GB2312" w:hAnsi="仿宋_GB2312" w:eastAsia="仿宋_GB2312" w:cs="仿宋_GB2312"/>
          <w:b w:val="0"/>
          <w:bCs/>
          <w:sz w:val="32"/>
          <w:szCs w:val="32"/>
        </w:rPr>
        <w:t>支出</w:t>
      </w:r>
      <w:r>
        <w:rPr>
          <w:rFonts w:hint="eastAsia" w:ascii="仿宋_GB2312" w:hAnsi="仿宋_GB2312" w:eastAsia="仿宋_GB2312" w:cs="仿宋_GB2312"/>
          <w:b w:val="0"/>
          <w:bCs/>
          <w:sz w:val="32"/>
          <w:szCs w:val="32"/>
          <w:lang w:eastAsia="zh-CN"/>
        </w:rPr>
        <w:t>的</w:t>
      </w:r>
      <w:r>
        <w:rPr>
          <w:rFonts w:hint="eastAsia" w:ascii="仿宋_GB2312" w:hAnsi="仿宋_GB2312" w:eastAsia="仿宋_GB2312" w:cs="仿宋_GB2312"/>
          <w:b w:val="0"/>
          <w:bCs/>
          <w:sz w:val="32"/>
          <w:szCs w:val="32"/>
        </w:rPr>
        <w:t>预算与实际支出存在差异</w:t>
      </w:r>
      <w:r>
        <w:rPr>
          <w:rFonts w:hint="eastAsia" w:ascii="仿宋_GB2312" w:hAnsi="仿宋_GB2312" w:eastAsia="仿宋_GB2312" w:cs="仿宋_GB2312"/>
          <w:b w:val="0"/>
          <w:bCs/>
          <w:sz w:val="32"/>
          <w:szCs w:val="32"/>
          <w:lang w:val="en-US" w:eastAsia="zh-CN"/>
        </w:rPr>
        <w:t>。</w:t>
      </w:r>
    </w:p>
    <w:p w14:paraId="42D75545">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下一步改进措施</w:t>
      </w:r>
    </w:p>
    <w:p w14:paraId="78A09FA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560" w:lineRule="exact"/>
        <w:ind w:leftChars="0" w:right="0" w:rightChars="0" w:firstLine="480" w:firstLineChars="200"/>
        <w:jc w:val="left"/>
        <w:textAlignment w:val="auto"/>
        <w:rPr>
          <w:rFonts w:hint="eastAsia" w:ascii="仿宋_GB2312" w:hAnsi="仿宋_GB2312" w:eastAsia="仿宋_GB2312" w:cs="仿宋_GB2312"/>
          <w:b w:val="0"/>
          <w:bCs/>
          <w:sz w:val="32"/>
          <w:szCs w:val="32"/>
          <w:lang w:eastAsia="zh-CN"/>
        </w:rPr>
      </w:pPr>
      <w:r>
        <w:rPr>
          <w:rFonts w:hint="eastAsia" w:ascii="黑体" w:hAnsi="黑体" w:eastAsia="黑体" w:cs="黑体"/>
          <w:sz w:val="24"/>
          <w:szCs w:val="24"/>
          <w:lang w:val="en-US" w:eastAsia="zh-CN"/>
        </w:rPr>
        <w:t xml:space="preserve">    </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严格按照《会计法》《行政单位会计制度》《行政单位财务规则》等规定执行财务核算，并结合实际情况，完整、准确地披露相关信息</w:t>
      </w:r>
      <w:r>
        <w:rPr>
          <w:rFonts w:hint="eastAsia" w:ascii="仿宋_GB2312" w:hAnsi="仿宋_GB2312" w:eastAsia="仿宋_GB2312" w:cs="仿宋_GB2312"/>
          <w:b w:val="0"/>
          <w:bCs/>
          <w:sz w:val="32"/>
          <w:szCs w:val="32"/>
          <w:lang w:eastAsia="zh-CN"/>
        </w:rPr>
        <w:t>。</w:t>
      </w:r>
    </w:p>
    <w:p w14:paraId="25DF1D06">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进一步贯彻落实中央八项规定、行政单位内部控制规范等财经纪律规定，切实履行厉行节约制度，加强经费审批和控制，规范支出标准与范围，并严格执行。</w:t>
      </w:r>
    </w:p>
    <w:p w14:paraId="528406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Chars="0" w:right="0"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建议财政部门切实加大对预算单位的支出绩效评</w:t>
      </w:r>
      <w:r>
        <w:rPr>
          <w:rFonts w:hint="eastAsia" w:ascii="仿宋_GB2312" w:hAnsi="仿宋_GB2312" w:eastAsia="仿宋_GB2312" w:cs="仿宋_GB2312"/>
          <w:b w:val="0"/>
          <w:bCs/>
          <w:sz w:val="32"/>
          <w:szCs w:val="32"/>
          <w:lang w:eastAsia="zh-CN"/>
        </w:rPr>
        <w:t>价</w:t>
      </w:r>
      <w:r>
        <w:rPr>
          <w:rFonts w:hint="eastAsia" w:ascii="仿宋_GB2312" w:hAnsi="仿宋_GB2312" w:eastAsia="仿宋_GB2312" w:cs="仿宋_GB2312"/>
          <w:b w:val="0"/>
          <w:bCs/>
          <w:sz w:val="32"/>
          <w:szCs w:val="32"/>
        </w:rPr>
        <w:t>业务培训和工作指导力度，以全面提升我</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b w:val="0"/>
          <w:bCs/>
          <w:sz w:val="32"/>
          <w:szCs w:val="32"/>
        </w:rPr>
        <w:t>预算支出绩效整体水平</w:t>
      </w:r>
      <w:r>
        <w:rPr>
          <w:rFonts w:hint="eastAsia" w:ascii="仿宋_GB2312" w:hAnsi="仿宋_GB2312" w:eastAsia="仿宋_GB2312" w:cs="仿宋_GB2312"/>
          <w:b w:val="0"/>
          <w:bCs/>
          <w:sz w:val="32"/>
          <w:szCs w:val="32"/>
          <w:lang w:eastAsia="zh-CN"/>
        </w:rPr>
        <w:t>。</w:t>
      </w:r>
    </w:p>
    <w:p w14:paraId="709F28ED">
      <w:pPr>
        <w:keepNext w:val="0"/>
        <w:keepLines w:val="0"/>
        <w:pageBreakBefore w:val="0"/>
        <w:widowControl/>
        <w:numPr>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24"/>
          <w:szCs w:val="24"/>
          <w:lang w:val="en-US" w:eastAsia="zh-CN"/>
        </w:rPr>
      </w:pPr>
    </w:p>
    <w:p w14:paraId="4FB3F19C">
      <w:pPr>
        <w:keepNext w:val="0"/>
        <w:keepLines w:val="0"/>
        <w:pageBreakBefore w:val="0"/>
        <w:overflowPunct/>
        <w:topLinePunct w:val="0"/>
        <w:bidi w:val="0"/>
        <w:spacing w:line="560" w:lineRule="exact"/>
        <w:rPr>
          <w:rFonts w:hint="eastAsia" w:ascii="仿宋" w:hAnsi="仿宋" w:eastAsia="仿宋" w:cs="仿宋"/>
          <w:spacing w:val="0"/>
          <w:sz w:val="32"/>
          <w:szCs w:val="32"/>
        </w:rPr>
      </w:pPr>
      <w:r>
        <w:rPr>
          <w:rFonts w:hint="eastAsia" w:ascii="黑体" w:hAnsi="黑体" w:eastAsia="黑体" w:cs="黑体"/>
          <w:sz w:val="24"/>
          <w:szCs w:val="24"/>
          <w:lang w:eastAsia="zh-CN"/>
        </w:rPr>
        <w:t>　　</w:t>
      </w:r>
      <w:r>
        <w:rPr>
          <w:rFonts w:hint="eastAsia" w:ascii="黑体" w:hAnsi="黑体" w:eastAsia="黑体" w:cs="黑体"/>
          <w:sz w:val="24"/>
          <w:szCs w:val="24"/>
        </w:rPr>
        <w:t>九、其他需要说明的情况</w:t>
      </w:r>
    </w:p>
    <w:p w14:paraId="427A5E82">
      <w:pPr>
        <w:keepNext w:val="0"/>
        <w:keepLines w:val="0"/>
        <w:pageBreakBefore w:val="0"/>
        <w:overflowPunct/>
        <w:topLinePunct w:val="0"/>
        <w:bidi w:val="0"/>
        <w:spacing w:line="560" w:lineRule="exact"/>
        <w:rPr>
          <w:rFonts w:hint="default" w:ascii="Arial" w:eastAsia="宋体"/>
          <w:spacing w:val="0"/>
          <w:sz w:val="21"/>
          <w:lang w:val="en-US" w:eastAsia="zh-CN"/>
        </w:rPr>
      </w:pPr>
      <w:r>
        <w:rPr>
          <w:rFonts w:hint="eastAsia" w:eastAsia="宋体"/>
          <w:spacing w:val="0"/>
          <w:sz w:val="21"/>
          <w:lang w:val="en-US" w:eastAsia="zh-CN"/>
        </w:rPr>
        <w:t xml:space="preserve">         无</w:t>
      </w:r>
    </w:p>
    <w:p w14:paraId="31FC9253">
      <w:pPr>
        <w:keepNext w:val="0"/>
        <w:keepLines w:val="0"/>
        <w:pageBreakBefore w:val="0"/>
        <w:overflowPunct/>
        <w:topLinePunct w:val="0"/>
        <w:bidi w:val="0"/>
        <w:spacing w:line="560" w:lineRule="exact"/>
        <w:rPr>
          <w:rFonts w:ascii="Arial"/>
          <w:spacing w:val="0"/>
          <w:sz w:val="21"/>
        </w:rPr>
      </w:pPr>
    </w:p>
    <w:p w14:paraId="307167AC">
      <w:pPr>
        <w:keepNext w:val="0"/>
        <w:keepLines w:val="0"/>
        <w:pageBreakBefore w:val="0"/>
        <w:overflowPunct/>
        <w:topLinePunct w:val="0"/>
        <w:bidi w:val="0"/>
        <w:spacing w:line="560" w:lineRule="exact"/>
        <w:rPr>
          <w:rFonts w:hint="eastAsia" w:ascii="Arial"/>
          <w:spacing w:val="0"/>
          <w:sz w:val="21"/>
        </w:rPr>
      </w:pPr>
    </w:p>
    <w:sectPr>
      <w:footerReference r:id="rId5" w:type="default"/>
      <w:pgSz w:w="11900" w:h="16833"/>
      <w:pgMar w:top="1430" w:right="1657" w:bottom="1445" w:left="158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A41EAC0-1221-4C91-BD39-E7CF301082B7}"/>
  </w:font>
  <w:font w:name="黑体">
    <w:panose1 w:val="02010609060101010101"/>
    <w:charset w:val="86"/>
    <w:family w:val="auto"/>
    <w:pitch w:val="default"/>
    <w:sig w:usb0="800002BF" w:usb1="38CF7CFA" w:usb2="00000016" w:usb3="00000000" w:csb0="00040001" w:csb1="00000000"/>
    <w:embedRegular r:id="rId2" w:fontKey="{01B612C9-1019-4EA5-8A51-CB89EBE37B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E36D4794-965A-48EB-A3A4-E90B1C0ACCEA}"/>
  </w:font>
  <w:font w:name="仿宋_GB2312">
    <w:panose1 w:val="02010609030101010101"/>
    <w:charset w:val="86"/>
    <w:family w:val="modern"/>
    <w:pitch w:val="default"/>
    <w:sig w:usb0="00000001" w:usb1="080E0000" w:usb2="00000000" w:usb3="00000000" w:csb0="00040000" w:csb1="00000000"/>
    <w:embedRegular r:id="rId4" w:fontKey="{C0699148-DC6E-4EB0-9512-77CB8ABD9BCB}"/>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DF0B1833-A08D-4BBC-A45C-099DF4F109D3}"/>
  </w:font>
  <w:font w:name="楷体">
    <w:panose1 w:val="02010609060101010101"/>
    <w:charset w:val="86"/>
    <w:family w:val="auto"/>
    <w:pitch w:val="default"/>
    <w:sig w:usb0="800002BF" w:usb1="38CF7CFA" w:usb2="00000016" w:usb3="00000000" w:csb0="00040001" w:csb1="00000000"/>
    <w:embedRegular r:id="rId6" w:fontKey="{3F6A7EC4-D7D4-4791-A2E2-41B6E74FF7A3}"/>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A92C">
    <w:pPr>
      <w:pStyle w:val="2"/>
      <w:spacing w:before="1" w:line="174" w:lineRule="auto"/>
      <w:ind w:left="8"/>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85D0D">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B85D0D">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3505B"/>
    <w:multiLevelType w:val="singleLevel"/>
    <w:tmpl w:val="BC43505B"/>
    <w:lvl w:ilvl="0" w:tentative="0">
      <w:start w:val="3"/>
      <w:numFmt w:val="chineseCounting"/>
      <w:suff w:val="nothing"/>
      <w:lvlText w:val="%1、"/>
      <w:lvlJc w:val="left"/>
      <w:rPr>
        <w:rFonts w:hint="eastAsia"/>
      </w:rPr>
    </w:lvl>
  </w:abstractNum>
  <w:abstractNum w:abstractNumId="1">
    <w:nsid w:val="D3A95A50"/>
    <w:multiLevelType w:val="singleLevel"/>
    <w:tmpl w:val="D3A95A5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VlMmU3NmE5YmMzZDVhY2ViNzE3Y2E1MjIxYjI5OTAifQ=="/>
  </w:docVars>
  <w:rsids>
    <w:rsidRoot w:val="00000000"/>
    <w:rsid w:val="00A858BD"/>
    <w:rsid w:val="02062C6E"/>
    <w:rsid w:val="02641C78"/>
    <w:rsid w:val="042803FD"/>
    <w:rsid w:val="04C10F55"/>
    <w:rsid w:val="05D80FC6"/>
    <w:rsid w:val="07867C48"/>
    <w:rsid w:val="07B6268B"/>
    <w:rsid w:val="07C136C9"/>
    <w:rsid w:val="08271494"/>
    <w:rsid w:val="089805D5"/>
    <w:rsid w:val="08B02EEB"/>
    <w:rsid w:val="09382467"/>
    <w:rsid w:val="0A173A74"/>
    <w:rsid w:val="0B957346"/>
    <w:rsid w:val="0BEA7692"/>
    <w:rsid w:val="0C1E4676"/>
    <w:rsid w:val="0C6C30D3"/>
    <w:rsid w:val="0DD43A3C"/>
    <w:rsid w:val="0DE27833"/>
    <w:rsid w:val="1069217B"/>
    <w:rsid w:val="148B307B"/>
    <w:rsid w:val="1655109A"/>
    <w:rsid w:val="17914E66"/>
    <w:rsid w:val="18E734C0"/>
    <w:rsid w:val="1A565A3B"/>
    <w:rsid w:val="1A5760D9"/>
    <w:rsid w:val="1A602B0E"/>
    <w:rsid w:val="1A673374"/>
    <w:rsid w:val="1CA1755B"/>
    <w:rsid w:val="1DAB08FD"/>
    <w:rsid w:val="1DD41F50"/>
    <w:rsid w:val="1EB268D8"/>
    <w:rsid w:val="1F861224"/>
    <w:rsid w:val="201C7C2D"/>
    <w:rsid w:val="20432151"/>
    <w:rsid w:val="219426BC"/>
    <w:rsid w:val="22361730"/>
    <w:rsid w:val="241B705C"/>
    <w:rsid w:val="25F501E4"/>
    <w:rsid w:val="277F0D47"/>
    <w:rsid w:val="278E3554"/>
    <w:rsid w:val="2A0A0391"/>
    <w:rsid w:val="2A1B7116"/>
    <w:rsid w:val="2AD27987"/>
    <w:rsid w:val="2B597F39"/>
    <w:rsid w:val="2C057779"/>
    <w:rsid w:val="2C555D5E"/>
    <w:rsid w:val="2C9C2318"/>
    <w:rsid w:val="2CE42D59"/>
    <w:rsid w:val="2F7470EF"/>
    <w:rsid w:val="301234CF"/>
    <w:rsid w:val="30730D86"/>
    <w:rsid w:val="31530D40"/>
    <w:rsid w:val="32800B15"/>
    <w:rsid w:val="32E12C1B"/>
    <w:rsid w:val="32E74229"/>
    <w:rsid w:val="34DE68FD"/>
    <w:rsid w:val="35A8233C"/>
    <w:rsid w:val="36A62E0D"/>
    <w:rsid w:val="36D97FDD"/>
    <w:rsid w:val="381F1BC2"/>
    <w:rsid w:val="3A130B78"/>
    <w:rsid w:val="3A364AA2"/>
    <w:rsid w:val="3A992100"/>
    <w:rsid w:val="3B7E2D65"/>
    <w:rsid w:val="3BC94324"/>
    <w:rsid w:val="3C601127"/>
    <w:rsid w:val="3D0715A3"/>
    <w:rsid w:val="3D4165B9"/>
    <w:rsid w:val="3E045AE2"/>
    <w:rsid w:val="3EF1250A"/>
    <w:rsid w:val="3F3D5750"/>
    <w:rsid w:val="41250249"/>
    <w:rsid w:val="44A57033"/>
    <w:rsid w:val="45507871"/>
    <w:rsid w:val="45A5284F"/>
    <w:rsid w:val="46CB3641"/>
    <w:rsid w:val="47562215"/>
    <w:rsid w:val="4869695A"/>
    <w:rsid w:val="48D03190"/>
    <w:rsid w:val="4BD66E26"/>
    <w:rsid w:val="4DF27705"/>
    <w:rsid w:val="4E3E294A"/>
    <w:rsid w:val="4F4E1C3F"/>
    <w:rsid w:val="4FD95020"/>
    <w:rsid w:val="50E05DC9"/>
    <w:rsid w:val="5144296E"/>
    <w:rsid w:val="51DD247A"/>
    <w:rsid w:val="52BF5135"/>
    <w:rsid w:val="53BE1EF3"/>
    <w:rsid w:val="53E10656"/>
    <w:rsid w:val="54AB2D04"/>
    <w:rsid w:val="55067F3A"/>
    <w:rsid w:val="5510217D"/>
    <w:rsid w:val="561D19DF"/>
    <w:rsid w:val="56B5458D"/>
    <w:rsid w:val="574C6777"/>
    <w:rsid w:val="578F06BB"/>
    <w:rsid w:val="5805272B"/>
    <w:rsid w:val="586B6F75"/>
    <w:rsid w:val="58DC16DE"/>
    <w:rsid w:val="5A6E0A5B"/>
    <w:rsid w:val="5AA91A93"/>
    <w:rsid w:val="5C35640B"/>
    <w:rsid w:val="5C766531"/>
    <w:rsid w:val="5E421FE3"/>
    <w:rsid w:val="5EA573A1"/>
    <w:rsid w:val="5F724B4A"/>
    <w:rsid w:val="5FDA031C"/>
    <w:rsid w:val="5FF03618"/>
    <w:rsid w:val="62230294"/>
    <w:rsid w:val="627A1A44"/>
    <w:rsid w:val="63461508"/>
    <w:rsid w:val="64E94E5B"/>
    <w:rsid w:val="661B0340"/>
    <w:rsid w:val="67752C6B"/>
    <w:rsid w:val="67D33403"/>
    <w:rsid w:val="69446A6A"/>
    <w:rsid w:val="69755D9C"/>
    <w:rsid w:val="6A794FDE"/>
    <w:rsid w:val="6A97623F"/>
    <w:rsid w:val="6B3C01C5"/>
    <w:rsid w:val="6CCF2536"/>
    <w:rsid w:val="6D734D23"/>
    <w:rsid w:val="6DAD3E81"/>
    <w:rsid w:val="6F8B7571"/>
    <w:rsid w:val="70476D35"/>
    <w:rsid w:val="71092E34"/>
    <w:rsid w:val="728C73A4"/>
    <w:rsid w:val="72A825D0"/>
    <w:rsid w:val="73373C88"/>
    <w:rsid w:val="7480340D"/>
    <w:rsid w:val="748340DC"/>
    <w:rsid w:val="74C3113D"/>
    <w:rsid w:val="75B55338"/>
    <w:rsid w:val="765654F8"/>
    <w:rsid w:val="768561A6"/>
    <w:rsid w:val="778046DE"/>
    <w:rsid w:val="782252F2"/>
    <w:rsid w:val="783C4260"/>
    <w:rsid w:val="7877331F"/>
    <w:rsid w:val="78CD7F92"/>
    <w:rsid w:val="78E5576C"/>
    <w:rsid w:val="79A11E5C"/>
    <w:rsid w:val="7AD70449"/>
    <w:rsid w:val="7B03025E"/>
    <w:rsid w:val="7B276391"/>
    <w:rsid w:val="7B5F1840"/>
    <w:rsid w:val="7BBE598E"/>
    <w:rsid w:val="7C325917"/>
    <w:rsid w:val="7C684FEE"/>
    <w:rsid w:val="7CE7291C"/>
    <w:rsid w:val="7E43626D"/>
    <w:rsid w:val="7E9B6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1I"/>
    <w:basedOn w:val="1"/>
    <w:qFormat/>
    <w:uiPriority w:val="99"/>
    <w:pPr>
      <w:snapToGrid w:val="0"/>
      <w:spacing w:line="360" w:lineRule="auto"/>
      <w:ind w:firstLine="420" w:firstLineChars="100"/>
    </w:pPr>
    <w:rPr>
      <w:sz w:val="28"/>
      <w:szCs w:val="20"/>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1153</Words>
  <Characters>1191</Characters>
  <TotalTime>214</TotalTime>
  <ScaleCrop>false</ScaleCrop>
  <LinksUpToDate>false</LinksUpToDate>
  <CharactersWithSpaces>1201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平淡如歌</cp:lastModifiedBy>
  <cp:lastPrinted>2025-05-19T01:38:00Z</cp:lastPrinted>
  <dcterms:modified xsi:type="dcterms:W3CDTF">2025-07-02T07:11:38Z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2052-12.1.0.21541</vt:lpwstr>
  </property>
  <property fmtid="{D5CDD505-2E9C-101B-9397-08002B2CF9AE}" pid="5" name="ICV">
    <vt:lpwstr>A494EA31FAA74595AB93832BF9EB9362_13</vt:lpwstr>
  </property>
  <property fmtid="{D5CDD505-2E9C-101B-9397-08002B2CF9AE}" pid="6" name="KSOTemplateDocerSaveRecord">
    <vt:lpwstr>eyJoZGlkIjoiYzlkOTM5MGEzYWI2OWEyYzhmOTU0NmUwZjJkMDQxNzQiLCJ1c2VySWQiOiI4NjM3NzAyODAifQ==</vt:lpwstr>
  </property>
</Properties>
</file>