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16E02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Arial" w:hAnsi="Arial" w:eastAsia="宋体" w:cs="Arial"/>
          <w:snapToGrid w:val="0"/>
          <w:color w:val="000000"/>
          <w:spacing w:val="0"/>
          <w:kern w:val="0"/>
          <w:sz w:val="21"/>
          <w:szCs w:val="21"/>
          <w:lang w:val="en-US" w:eastAsia="zh-CN"/>
        </w:rPr>
      </w:pPr>
      <w:r>
        <w:rPr>
          <w:rFonts w:ascii="黑体" w:hAnsi="黑体" w:eastAsia="黑体" w:cs="黑体"/>
          <w:snapToGrid w:val="0"/>
          <w:color w:val="000000"/>
          <w:spacing w:val="0"/>
          <w:kern w:val="0"/>
          <w:sz w:val="31"/>
          <w:szCs w:val="31"/>
          <w:lang w:eastAsia="en-US"/>
        </w:rPr>
        <w:t xml:space="preserve">附件 </w:t>
      </w:r>
      <w:r>
        <w:rPr>
          <w:rFonts w:ascii="Times New Roman" w:hAnsi="Times New Roman" w:eastAsia="Times New Roman" w:cs="Times New Roman"/>
          <w:snapToGrid w:val="0"/>
          <w:color w:val="000000"/>
          <w:spacing w:val="0"/>
          <w:kern w:val="0"/>
          <w:sz w:val="31"/>
          <w:szCs w:val="31"/>
          <w:lang w:eastAsia="en-US"/>
        </w:rPr>
        <w:t>5</w:t>
      </w:r>
      <w:r>
        <w:rPr>
          <w:rFonts w:hint="eastAsia" w:ascii="Times New Roman" w:hAnsi="Times New Roman" w:eastAsia="宋体" w:cs="Times New Roman"/>
          <w:snapToGrid w:val="0"/>
          <w:color w:val="000000"/>
          <w:spacing w:val="0"/>
          <w:kern w:val="0"/>
          <w:sz w:val="31"/>
          <w:szCs w:val="31"/>
          <w:lang w:val="en-US" w:eastAsia="zh-CN"/>
        </w:rPr>
        <w:t>-1</w:t>
      </w:r>
    </w:p>
    <w:p w14:paraId="2B84E1A3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384"/>
        <w:jc w:val="left"/>
        <w:textAlignment w:val="baseline"/>
        <w:rPr>
          <w:rFonts w:ascii="Times New Roman" w:hAnsi="Times New Roman" w:eastAsia="Times New Roman" w:cs="Times New Roman"/>
          <w:snapToGrid w:val="0"/>
          <w:color w:val="000000"/>
          <w:spacing w:val="0"/>
          <w:kern w:val="0"/>
          <w:sz w:val="52"/>
          <w:szCs w:val="52"/>
          <w:lang w:eastAsia="en-US"/>
        </w:rPr>
      </w:pPr>
    </w:p>
    <w:p w14:paraId="05BD0B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384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spacing w:val="0"/>
          <w:kern w:val="0"/>
          <w:sz w:val="44"/>
          <w:szCs w:val="44"/>
          <w:lang w:eastAsia="en-US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0"/>
          <w:kern w:val="0"/>
          <w:sz w:val="44"/>
          <w:szCs w:val="44"/>
          <w:lang w:eastAsia="en-US"/>
        </w:rPr>
        <w:t>202</w:t>
      </w:r>
      <w:r>
        <w:rPr>
          <w:rFonts w:hint="eastAsia" w:ascii="Times New Roman" w:hAnsi="Times New Roman" w:eastAsia="宋体" w:cs="Times New Roman"/>
          <w:snapToGrid w:val="0"/>
          <w:color w:val="000000"/>
          <w:spacing w:val="0"/>
          <w:kern w:val="0"/>
          <w:sz w:val="44"/>
          <w:szCs w:val="44"/>
          <w:lang w:val="en-US" w:eastAsia="zh-CN"/>
        </w:rPr>
        <w:t>4</w:t>
      </w:r>
      <w:r>
        <w:rPr>
          <w:rFonts w:ascii="微软雅黑" w:hAnsi="微软雅黑" w:eastAsia="微软雅黑" w:cs="微软雅黑"/>
          <w:snapToGrid w:val="0"/>
          <w:color w:val="000000"/>
          <w:spacing w:val="0"/>
          <w:kern w:val="0"/>
          <w:sz w:val="44"/>
          <w:szCs w:val="44"/>
          <w:lang w:eastAsia="en-US"/>
        </w:rPr>
        <w:t>年度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0"/>
          <w:kern w:val="0"/>
          <w:sz w:val="44"/>
          <w:szCs w:val="44"/>
          <w:lang w:val="en-US" w:eastAsia="zh-CN"/>
        </w:rPr>
        <w:t>区审计局</w:t>
      </w:r>
      <w:r>
        <w:rPr>
          <w:rFonts w:ascii="微软雅黑" w:hAnsi="微软雅黑" w:eastAsia="微软雅黑" w:cs="微软雅黑"/>
          <w:snapToGrid w:val="0"/>
          <w:color w:val="000000"/>
          <w:spacing w:val="0"/>
          <w:kern w:val="0"/>
          <w:sz w:val="44"/>
          <w:szCs w:val="44"/>
          <w:lang w:eastAsia="en-US"/>
        </w:rPr>
        <w:t>部门整体支出</w:t>
      </w:r>
    </w:p>
    <w:p w14:paraId="3DC06A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789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spacing w:val="0"/>
          <w:kern w:val="0"/>
          <w:sz w:val="52"/>
          <w:szCs w:val="52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0"/>
          <w:kern w:val="0"/>
          <w:sz w:val="44"/>
          <w:szCs w:val="44"/>
          <w:lang w:eastAsia="en-US"/>
        </w:rPr>
        <w:t>绩效自评报告</w:t>
      </w:r>
    </w:p>
    <w:p w14:paraId="45E36907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spacing w:val="0"/>
          <w:kern w:val="0"/>
          <w:sz w:val="21"/>
          <w:szCs w:val="21"/>
          <w:lang w:eastAsia="en-US"/>
        </w:rPr>
      </w:pPr>
    </w:p>
    <w:p w14:paraId="1FC6DE8A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spacing w:val="0"/>
          <w:kern w:val="0"/>
          <w:sz w:val="21"/>
          <w:szCs w:val="21"/>
          <w:lang w:eastAsia="en-US"/>
        </w:rPr>
      </w:pPr>
    </w:p>
    <w:p w14:paraId="433F0506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spacing w:val="0"/>
          <w:kern w:val="0"/>
          <w:sz w:val="21"/>
          <w:szCs w:val="21"/>
          <w:lang w:eastAsia="en-US"/>
        </w:rPr>
      </w:pPr>
    </w:p>
    <w:p w14:paraId="4119AB8B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spacing w:val="0"/>
          <w:kern w:val="0"/>
          <w:sz w:val="21"/>
          <w:szCs w:val="21"/>
          <w:lang w:eastAsia="en-US"/>
        </w:rPr>
      </w:pPr>
    </w:p>
    <w:p w14:paraId="28DAD1D2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spacing w:val="0"/>
          <w:kern w:val="0"/>
          <w:sz w:val="21"/>
          <w:szCs w:val="21"/>
          <w:lang w:eastAsia="en-US"/>
        </w:rPr>
      </w:pPr>
    </w:p>
    <w:p w14:paraId="5C051CF4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spacing w:val="0"/>
          <w:kern w:val="0"/>
          <w:sz w:val="21"/>
          <w:szCs w:val="21"/>
          <w:lang w:eastAsia="en-US"/>
        </w:rPr>
      </w:pPr>
    </w:p>
    <w:p w14:paraId="1659EA39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spacing w:val="0"/>
          <w:kern w:val="0"/>
          <w:sz w:val="21"/>
          <w:szCs w:val="21"/>
          <w:lang w:eastAsia="en-US"/>
        </w:rPr>
      </w:pPr>
    </w:p>
    <w:p w14:paraId="29EC624F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spacing w:val="0"/>
          <w:kern w:val="0"/>
          <w:sz w:val="21"/>
          <w:szCs w:val="21"/>
          <w:lang w:eastAsia="en-US"/>
        </w:rPr>
      </w:pPr>
    </w:p>
    <w:p w14:paraId="654BD29D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spacing w:val="0"/>
          <w:kern w:val="0"/>
          <w:sz w:val="21"/>
          <w:szCs w:val="21"/>
          <w:lang w:eastAsia="en-US"/>
        </w:rPr>
      </w:pPr>
    </w:p>
    <w:p w14:paraId="206A2472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spacing w:val="0"/>
          <w:kern w:val="0"/>
          <w:sz w:val="21"/>
          <w:szCs w:val="21"/>
          <w:lang w:eastAsia="en-US"/>
        </w:rPr>
      </w:pPr>
    </w:p>
    <w:p w14:paraId="3E52B4D4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spacing w:val="0"/>
          <w:kern w:val="0"/>
          <w:sz w:val="21"/>
          <w:szCs w:val="21"/>
          <w:lang w:eastAsia="en-US"/>
        </w:rPr>
      </w:pPr>
    </w:p>
    <w:p w14:paraId="65010E86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spacing w:val="0"/>
          <w:kern w:val="0"/>
          <w:sz w:val="21"/>
          <w:szCs w:val="21"/>
          <w:lang w:eastAsia="en-US"/>
        </w:rPr>
      </w:pPr>
    </w:p>
    <w:p w14:paraId="4EEA1763">
      <w:pPr>
        <w:keepNext w:val="0"/>
        <w:keepLines w:val="0"/>
        <w:pageBreakBefore w:val="0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902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 xml:space="preserve">部门（单位）名称： </w:t>
      </w:r>
      <w:r>
        <w:rPr>
          <w:rFonts w:ascii="仿宋" w:hAnsi="仿宋" w:eastAsia="仿宋" w:cs="仿宋"/>
          <w:snapToGrid w:val="0"/>
          <w:color w:val="000000"/>
          <w:spacing w:val="0"/>
          <w:kern w:val="0"/>
          <w:sz w:val="31"/>
          <w:szCs w:val="31"/>
          <w:u w:val="single" w:color="auto"/>
          <w:lang w:val="en-US" w:eastAsia="en-US" w:bidi="ar-SA"/>
        </w:rPr>
        <w:t xml:space="preserve"> （盖章）         </w:t>
      </w:r>
    </w:p>
    <w:p w14:paraId="5650D38A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79"/>
        <w:jc w:val="left"/>
        <w:textAlignment w:val="baseline"/>
        <w:rPr>
          <w:rFonts w:ascii="楷体" w:hAnsi="楷体" w:eastAsia="楷体" w:cs="楷体"/>
          <w:snapToGrid w:val="0"/>
          <w:color w:val="000000"/>
          <w:spacing w:val="0"/>
          <w:kern w:val="0"/>
          <w:sz w:val="31"/>
          <w:szCs w:val="31"/>
          <w:lang w:eastAsia="en-US"/>
        </w:rPr>
      </w:pPr>
      <w:r>
        <w:rPr>
          <w:rFonts w:ascii="楷体" w:hAnsi="楷体" w:eastAsia="楷体" w:cs="楷体"/>
          <w:snapToGrid w:val="0"/>
          <w:color w:val="000000"/>
          <w:spacing w:val="0"/>
          <w:kern w:val="0"/>
          <w:sz w:val="31"/>
          <w:szCs w:val="31"/>
          <w:lang w:eastAsia="en-US"/>
        </w:rPr>
        <w:t>年  月  日</w:t>
      </w:r>
    </w:p>
    <w:p w14:paraId="6A36ABB2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spacing w:val="0"/>
          <w:kern w:val="0"/>
          <w:sz w:val="21"/>
          <w:szCs w:val="21"/>
          <w:lang w:eastAsia="en-US"/>
        </w:rPr>
      </w:pPr>
    </w:p>
    <w:p w14:paraId="3265C5CD">
      <w:pPr>
        <w:keepNext w:val="0"/>
        <w:keepLines w:val="0"/>
        <w:pageBreakBefore w:val="0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216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（此页为封面）</w:t>
      </w:r>
    </w:p>
    <w:p w14:paraId="66601EAD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spacing w:val="0"/>
        </w:rPr>
        <w:sectPr>
          <w:footerReference r:id="rId3" w:type="default"/>
          <w:pgSz w:w="11900" w:h="16833"/>
          <w:pgMar w:top="1401" w:right="1583" w:bottom="1445" w:left="1618" w:header="0" w:footer="1170" w:gutter="0"/>
          <w:cols w:space="720" w:num="1"/>
        </w:sectPr>
      </w:pPr>
    </w:p>
    <w:p w14:paraId="184CDE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baseline"/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44"/>
          <w:szCs w:val="44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44"/>
          <w:szCs w:val="44"/>
          <w:lang w:eastAsia="en-US"/>
        </w:rPr>
        <w:t>202</w:t>
      </w:r>
      <w:r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44"/>
          <w:szCs w:val="44"/>
          <w:lang w:eastAsia="en-US"/>
        </w:rPr>
        <w:t>年度</w:t>
      </w:r>
      <w:r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44"/>
          <w:szCs w:val="44"/>
          <w:lang w:val="en-US" w:eastAsia="zh-CN"/>
        </w:rPr>
        <w:t>区审计局</w:t>
      </w:r>
      <w:r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44"/>
          <w:szCs w:val="44"/>
          <w:lang w:eastAsia="en-US"/>
        </w:rPr>
        <w:t>部门整体支出</w:t>
      </w:r>
    </w:p>
    <w:p w14:paraId="564364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baseline"/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44"/>
          <w:szCs w:val="44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spacing w:val="0"/>
          <w:kern w:val="0"/>
          <w:sz w:val="44"/>
          <w:szCs w:val="44"/>
          <w:lang w:eastAsia="en-US"/>
        </w:rPr>
        <w:t>绩效自评报告</w:t>
      </w:r>
    </w:p>
    <w:p w14:paraId="3F5B04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 w:val="0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b/>
          <w:bCs w:val="0"/>
          <w:snapToGrid w:val="0"/>
          <w:color w:val="000000"/>
          <w:kern w:val="0"/>
          <w:sz w:val="32"/>
          <w:szCs w:val="32"/>
          <w:lang w:eastAsia="en-US"/>
        </w:rPr>
        <w:t>一、部门（单位）概况</w:t>
      </w:r>
    </w:p>
    <w:p w14:paraId="62867A31">
      <w:pPr>
        <w:spacing w:line="58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岳阳市云溪区审计局（以下简称区审计局）是岳阳市云溪区人民政府工作部门，为正科级。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主要职责是：</w:t>
      </w:r>
      <w:r>
        <w:rPr>
          <w:rFonts w:hint="eastAsia" w:ascii="仿宋_GB2312" w:hAnsi="宋体" w:eastAsia="仿宋_GB2312"/>
          <w:sz w:val="32"/>
          <w:szCs w:val="32"/>
        </w:rPr>
        <w:t>承担区委审计委员会具体工作，研究提出审计领域坚持党的领导、加强党的建设的政策建议，组织研究审计工作规划，协调推进和督促党中央、省委、市委、区委和区委审计委员会的决策部署，研究提出年度审计项目计划等。</w:t>
      </w:r>
    </w:p>
    <w:p w14:paraId="7625A4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/>
          <w:sz w:val="32"/>
          <w:szCs w:val="32"/>
          <w:lang w:eastAsia="zh-CN"/>
        </w:rPr>
        <w:t>区审计局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下设内设机构包括：</w:t>
      </w:r>
      <w:r>
        <w:rPr>
          <w:rFonts w:hint="eastAsia" w:ascii="仿宋_GB2312" w:hAnsi="宋体"/>
          <w:sz w:val="32"/>
          <w:szCs w:val="32"/>
          <w:lang w:eastAsia="zh-CN"/>
        </w:rPr>
        <w:t>办公室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/>
          <w:sz w:val="32"/>
          <w:szCs w:val="32"/>
          <w:lang w:eastAsia="zh-CN"/>
        </w:rPr>
        <w:t>法规审理股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/>
          <w:sz w:val="32"/>
          <w:szCs w:val="32"/>
          <w:lang w:eastAsia="zh-CN"/>
        </w:rPr>
        <w:t>财政和行政事业审计股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、固定资产投资审计股（重大项目稽查审计股）、</w:t>
      </w:r>
      <w:r>
        <w:rPr>
          <w:rFonts w:hint="eastAsia" w:ascii="仿宋_GB2312" w:hAnsi="宋体"/>
          <w:sz w:val="32"/>
          <w:szCs w:val="32"/>
          <w:lang w:eastAsia="zh-CN"/>
        </w:rPr>
        <w:t>经济责任审计股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。区审计局机关行政编制为9名。其中局长1名，副局长2名，总审计师1名。机关后勤服务事业编1名，人员只出不进。区审计局所属事业单位的设置、职责和编制规定如下：</w:t>
      </w:r>
    </w:p>
    <w:p w14:paraId="23C021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（一）岳阳市云溪区经济审计中心，是区审计局所属公益类事业机构，为正股级。其主要职责是：承担区审计局负责的各项具体审计事务工作。核定全额拨款事业编制12名，其中主任1名、副主任2名。</w:t>
      </w:r>
    </w:p>
    <w:p w14:paraId="63F0C1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二）岳阳市云溪区审计服务中心，是区审计局所属公益类事业机构，为正股级。其主要职责是：承接会计咨询、财务清理、代理记帐；接受具有资质的会计师事务所委托性的验资，会计报表审核，破产清算等财会业务。核定差额拨款事业编制2名，其中主任1名。</w:t>
      </w:r>
    </w:p>
    <w:p w14:paraId="297DB4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 w:val="0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b/>
          <w:bCs w:val="0"/>
          <w:snapToGrid w:val="0"/>
          <w:color w:val="000000"/>
          <w:kern w:val="0"/>
          <w:sz w:val="32"/>
          <w:szCs w:val="32"/>
          <w:lang w:val="en-US" w:eastAsia="zh-CN"/>
        </w:rPr>
        <w:t>二、一般公共预算支出情况</w:t>
      </w:r>
    </w:p>
    <w:p w14:paraId="612C84C9">
      <w:pPr>
        <w:widowControl/>
        <w:kinsoku w:val="0"/>
        <w:autoSpaceDE w:val="0"/>
        <w:autoSpaceDN w:val="0"/>
        <w:adjustRightInd w:val="0"/>
        <w:snapToGrid w:val="0"/>
        <w:spacing w:line="480" w:lineRule="exact"/>
        <w:ind w:firstLine="643" w:firstLineChars="200"/>
        <w:jc w:val="left"/>
        <w:textAlignment w:val="baseline"/>
        <w:rPr>
          <w:rFonts w:hint="eastAsia" w:ascii="方正楷体_GB2312" w:hAnsi="方正楷体_GB2312" w:eastAsia="方正楷体_GB2312" w:cs="方正楷体_GB2312"/>
          <w:b/>
          <w:bCs w:val="0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b/>
          <w:bCs w:val="0"/>
          <w:snapToGrid w:val="0"/>
          <w:color w:val="000000"/>
          <w:kern w:val="0"/>
          <w:sz w:val="32"/>
          <w:szCs w:val="32"/>
          <w:lang w:eastAsia="en-US"/>
        </w:rPr>
        <w:t>（一）基本支出</w:t>
      </w:r>
      <w:r>
        <w:rPr>
          <w:rFonts w:hint="eastAsia" w:ascii="方正楷体_GB2312" w:hAnsi="方正楷体_GB2312" w:eastAsia="方正楷体_GB2312" w:cs="方正楷体_GB2312"/>
          <w:b/>
          <w:bCs w:val="0"/>
          <w:snapToGrid w:val="0"/>
          <w:color w:val="000000"/>
          <w:kern w:val="0"/>
          <w:sz w:val="32"/>
          <w:szCs w:val="32"/>
          <w:lang w:eastAsia="zh-CN"/>
        </w:rPr>
        <w:t>情况</w:t>
      </w:r>
    </w:p>
    <w:p w14:paraId="5563B1DD">
      <w:pPr>
        <w:spacing w:line="58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/>
          <w:sz w:val="32"/>
          <w:szCs w:val="32"/>
          <w:lang w:eastAsia="zh-CN"/>
        </w:rPr>
        <w:t>我局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2024年度基本支出整体状况良好，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基本支出总额</w:t>
      </w:r>
      <w:r>
        <w:rPr>
          <w:rFonts w:hint="eastAsia" w:ascii="仿宋_GB2312" w:hAnsi="宋体"/>
          <w:sz w:val="32"/>
          <w:szCs w:val="32"/>
          <w:highlight w:val="none"/>
          <w:lang w:val="en-US" w:eastAsia="zh-CN"/>
        </w:rPr>
        <w:t>444.27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万元。其中人员经费支出</w:t>
      </w:r>
      <w:r>
        <w:rPr>
          <w:rFonts w:hint="eastAsia" w:ascii="仿宋_GB2312" w:hAnsi="宋体"/>
          <w:sz w:val="32"/>
          <w:szCs w:val="32"/>
          <w:highlight w:val="none"/>
          <w:lang w:val="en-US" w:eastAsia="zh-CN"/>
        </w:rPr>
        <w:t>326.47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万元，公用经费支出</w:t>
      </w:r>
      <w:r>
        <w:rPr>
          <w:rFonts w:hint="eastAsia" w:ascii="仿宋_GB2312" w:hAnsi="宋体"/>
          <w:sz w:val="32"/>
          <w:szCs w:val="32"/>
          <w:highlight w:val="none"/>
          <w:lang w:val="en-US" w:eastAsia="zh-CN"/>
        </w:rPr>
        <w:t>117.8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万元。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均按财政部门要求进行使用和管理。其中“三公”经费的使用和管理严格规范，接待费支出完全按照省市关于公务接待的有关文件执行，2024年度中心没有因公出国（境）情况，彻落实厉行节约、严控“三公”经费。</w:t>
      </w:r>
    </w:p>
    <w:p w14:paraId="6DE0F852">
      <w:pPr>
        <w:widowControl/>
        <w:kinsoku w:val="0"/>
        <w:autoSpaceDE w:val="0"/>
        <w:autoSpaceDN w:val="0"/>
        <w:adjustRightInd w:val="0"/>
        <w:snapToGrid w:val="0"/>
        <w:spacing w:line="480" w:lineRule="exact"/>
        <w:ind w:firstLine="643" w:firstLineChars="200"/>
        <w:jc w:val="left"/>
        <w:textAlignment w:val="baseline"/>
        <w:rPr>
          <w:rFonts w:hint="eastAsia" w:ascii="方正楷体_GB2312" w:hAnsi="方正楷体_GB2312" w:eastAsia="方正楷体_GB2312" w:cs="方正楷体_GB2312"/>
          <w:b/>
          <w:bCs w:val="0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b/>
          <w:bCs w:val="0"/>
          <w:snapToGrid w:val="0"/>
          <w:color w:val="000000"/>
          <w:kern w:val="0"/>
          <w:sz w:val="32"/>
          <w:szCs w:val="32"/>
          <w:lang w:eastAsia="en-US"/>
        </w:rPr>
        <w:t>（二）</w:t>
      </w:r>
      <w:r>
        <w:rPr>
          <w:rFonts w:hint="eastAsia" w:ascii="方正楷体_GB2312" w:hAnsi="方正楷体_GB2312" w:eastAsia="方正楷体_GB2312" w:cs="方正楷体_GB2312"/>
          <w:b/>
          <w:bCs w:val="0"/>
          <w:snapToGrid w:val="0"/>
          <w:color w:val="000000"/>
          <w:kern w:val="0"/>
          <w:sz w:val="32"/>
          <w:szCs w:val="32"/>
          <w:lang w:eastAsia="zh-CN"/>
        </w:rPr>
        <w:t>项目</w:t>
      </w:r>
      <w:r>
        <w:rPr>
          <w:rFonts w:hint="eastAsia" w:ascii="方正楷体_GB2312" w:hAnsi="方正楷体_GB2312" w:eastAsia="方正楷体_GB2312" w:cs="方正楷体_GB2312"/>
          <w:b/>
          <w:bCs w:val="0"/>
          <w:snapToGrid w:val="0"/>
          <w:color w:val="000000"/>
          <w:kern w:val="0"/>
          <w:sz w:val="32"/>
          <w:szCs w:val="32"/>
          <w:lang w:eastAsia="en-US"/>
        </w:rPr>
        <w:t>支出</w:t>
      </w:r>
      <w:r>
        <w:rPr>
          <w:rFonts w:hint="eastAsia" w:ascii="方正楷体_GB2312" w:hAnsi="方正楷体_GB2312" w:eastAsia="方正楷体_GB2312" w:cs="方正楷体_GB2312"/>
          <w:b/>
          <w:bCs w:val="0"/>
          <w:snapToGrid w:val="0"/>
          <w:color w:val="000000"/>
          <w:kern w:val="0"/>
          <w:sz w:val="32"/>
          <w:szCs w:val="32"/>
          <w:lang w:eastAsia="zh-CN"/>
        </w:rPr>
        <w:t>情况</w:t>
      </w:r>
      <w:bookmarkStart w:id="0" w:name="_GoBack"/>
      <w:bookmarkEnd w:id="0"/>
    </w:p>
    <w:p w14:paraId="26266A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/>
          <w:sz w:val="32"/>
          <w:szCs w:val="32"/>
          <w:lang w:eastAsia="zh-CN"/>
        </w:rPr>
      </w:pPr>
      <w:r>
        <w:rPr>
          <w:rFonts w:hint="eastAsia" w:ascii="仿宋_GB2312" w:hAnsi="宋体"/>
          <w:sz w:val="32"/>
          <w:szCs w:val="32"/>
          <w:lang w:eastAsia="zh-CN"/>
        </w:rPr>
        <w:t>我局2024年本部门项目支出预算71.2万元，主要是部门为完成特定行政工作任务或事业发展目标而发生的支出，其中：金审工程支出10万元，主要用于金审三期工程建设和信息化设备更新等方面；经济责任审计支出8.5万元，主要用于经济责任审计项目执行过程中的工作经费开支等方面；审计专项支出20万元，主要用于审计项目执行过程中的工作经费开支等方面；执收成本支出2.7万元，主要用于审计决定执行过程中的工作经费开支等方面；工程审计外包服务支出30万元，主要用于工程审计外包服务费等方面。</w:t>
      </w:r>
    </w:p>
    <w:p w14:paraId="256D6F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 w:val="0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napToGrid w:val="0"/>
          <w:color w:val="000000"/>
          <w:kern w:val="0"/>
          <w:sz w:val="32"/>
          <w:szCs w:val="32"/>
          <w:lang w:val="en-US" w:eastAsia="zh-CN"/>
        </w:rPr>
        <w:t>三、政府性基金预算支出情况</w:t>
      </w:r>
    </w:p>
    <w:p w14:paraId="3DC51EC1">
      <w:pPr>
        <w:spacing w:line="58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/>
          <w:sz w:val="32"/>
          <w:szCs w:val="32"/>
          <w:lang w:val="en-US" w:eastAsia="zh-CN"/>
        </w:rPr>
        <w:t>我局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2024年无政府性基金预算收支业务</w:t>
      </w:r>
    </w:p>
    <w:p w14:paraId="55CC52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 w:val="0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napToGrid w:val="0"/>
          <w:color w:val="000000"/>
          <w:kern w:val="0"/>
          <w:sz w:val="32"/>
          <w:szCs w:val="32"/>
          <w:lang w:val="en-US" w:eastAsia="zh-CN"/>
        </w:rPr>
        <w:t>四、国有资本经营预算支出情况</w:t>
      </w:r>
    </w:p>
    <w:p w14:paraId="2FFFBB90">
      <w:pPr>
        <w:spacing w:line="58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/>
          <w:sz w:val="32"/>
          <w:szCs w:val="32"/>
          <w:lang w:val="en-US" w:eastAsia="zh-CN"/>
        </w:rPr>
        <w:t>我局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2024年无国有资本经营预算收支业务</w:t>
      </w:r>
    </w:p>
    <w:p w14:paraId="2B4148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 w:val="0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napToGrid w:val="0"/>
          <w:color w:val="000000"/>
          <w:kern w:val="0"/>
          <w:sz w:val="32"/>
          <w:szCs w:val="32"/>
          <w:lang w:val="en-US" w:eastAsia="zh-CN"/>
        </w:rPr>
        <w:t>五、社会保险基金预算支出情况</w:t>
      </w:r>
    </w:p>
    <w:p w14:paraId="11206D85">
      <w:pPr>
        <w:spacing w:line="58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/>
          <w:sz w:val="32"/>
          <w:szCs w:val="32"/>
          <w:highlight w:val="none"/>
          <w:lang w:val="en-US" w:eastAsia="zh-CN"/>
        </w:rPr>
        <w:t>我局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2024年社保及住房公积金支出</w:t>
      </w:r>
      <w:r>
        <w:rPr>
          <w:rFonts w:hint="eastAsia" w:ascii="仿宋_GB2312" w:hAnsi="宋体"/>
          <w:sz w:val="32"/>
          <w:szCs w:val="32"/>
          <w:highlight w:val="none"/>
          <w:lang w:val="en-US" w:eastAsia="zh-CN"/>
        </w:rPr>
        <w:t>64.7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万元，其中基本养老保险缴费支出</w:t>
      </w:r>
      <w:r>
        <w:rPr>
          <w:rFonts w:hint="eastAsia" w:ascii="仿宋_GB2312" w:hAnsi="宋体"/>
          <w:sz w:val="32"/>
          <w:szCs w:val="32"/>
          <w:highlight w:val="none"/>
          <w:lang w:val="en-US" w:eastAsia="zh-CN"/>
        </w:rPr>
        <w:t>32.86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万元，职业年金缴费支出</w:t>
      </w:r>
      <w:r>
        <w:rPr>
          <w:rFonts w:hint="eastAsia" w:ascii="仿宋_GB2312" w:hAnsi="宋体"/>
          <w:sz w:val="32"/>
          <w:szCs w:val="32"/>
          <w:highlight w:val="none"/>
          <w:lang w:val="en-US" w:eastAsia="zh-CN"/>
        </w:rPr>
        <w:t>1.33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万元，职工基本医疗保险缴费支出</w:t>
      </w:r>
      <w:r>
        <w:rPr>
          <w:rFonts w:hint="eastAsia" w:ascii="仿宋_GB2312" w:hAnsi="宋体"/>
          <w:sz w:val="32"/>
          <w:szCs w:val="32"/>
          <w:highlight w:val="none"/>
          <w:lang w:val="en-US" w:eastAsia="zh-CN"/>
        </w:rPr>
        <w:t>10.1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仿宋_GB2312" w:hAnsi="宋体"/>
          <w:sz w:val="32"/>
          <w:szCs w:val="32"/>
          <w:highlight w:val="none"/>
          <w:lang w:val="en-US" w:eastAsia="zh-CN"/>
        </w:rPr>
        <w:t>其他社会保障缴费2.63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万元，住房公积金支出</w:t>
      </w:r>
      <w:r>
        <w:rPr>
          <w:rFonts w:hint="eastAsia" w:ascii="仿宋_GB2312" w:hAnsi="宋体"/>
          <w:sz w:val="32"/>
          <w:szCs w:val="32"/>
          <w:highlight w:val="none"/>
          <w:lang w:val="en-US" w:eastAsia="zh-CN"/>
        </w:rPr>
        <w:t>17.78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万元。</w:t>
      </w:r>
    </w:p>
    <w:p w14:paraId="2C7BE5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 w:val="0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napToGrid w:val="0"/>
          <w:color w:val="000000"/>
          <w:kern w:val="0"/>
          <w:sz w:val="32"/>
          <w:szCs w:val="32"/>
          <w:lang w:val="en-US" w:eastAsia="zh-CN"/>
        </w:rPr>
        <w:t>六、部门整体支出绩效情况</w:t>
      </w:r>
    </w:p>
    <w:p w14:paraId="45D4503A">
      <w:pPr>
        <w:spacing w:line="58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2024年度，</w:t>
      </w:r>
      <w:r>
        <w:rPr>
          <w:rFonts w:hint="eastAsia" w:ascii="仿宋_GB2312" w:hAnsi="宋体"/>
          <w:sz w:val="32"/>
          <w:szCs w:val="32"/>
          <w:lang w:val="en-US" w:eastAsia="zh-CN"/>
        </w:rPr>
        <w:t>我局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整体支出</w:t>
      </w:r>
      <w:r>
        <w:rPr>
          <w:rFonts w:hint="eastAsia" w:ascii="仿宋_GB2312" w:hAnsi="宋体"/>
          <w:sz w:val="32"/>
          <w:szCs w:val="32"/>
          <w:lang w:val="en-US" w:eastAsia="zh-CN"/>
        </w:rPr>
        <w:t>484.05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万元，其中基本支出</w:t>
      </w:r>
      <w:r>
        <w:rPr>
          <w:rFonts w:hint="eastAsia" w:ascii="仿宋_GB2312" w:hAnsi="宋体"/>
          <w:sz w:val="32"/>
          <w:szCs w:val="32"/>
          <w:lang w:val="en-US" w:eastAsia="zh-CN"/>
        </w:rPr>
        <w:t>444.27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万元，项目支出</w:t>
      </w:r>
      <w:r>
        <w:rPr>
          <w:rFonts w:hint="eastAsia" w:ascii="仿宋_GB2312" w:hAnsi="宋体"/>
          <w:sz w:val="32"/>
          <w:szCs w:val="32"/>
          <w:lang w:val="en-US" w:eastAsia="zh-CN"/>
        </w:rPr>
        <w:t>39.77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万元。</w:t>
      </w:r>
      <w:r>
        <w:rPr>
          <w:rFonts w:hint="eastAsia" w:ascii="仿宋_GB2312" w:hAnsi="宋体"/>
          <w:sz w:val="32"/>
          <w:szCs w:val="32"/>
          <w:lang w:val="en-US" w:eastAsia="zh-CN"/>
        </w:rPr>
        <w:t>我局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坚持“依章办事、服务大局、围绕中心、突出重点、求真务实”的工作方针，对各项支出严格按照预算额度进行压缩控制，按照国家财经法规和机关财务管理制度规定，做到专款专用，专人保管，加强预算管理的执行力度，确保资金安全，降低运行成本，提高管理效率和履职效能，使部门整体支出使用效果达到了预期。</w:t>
      </w:r>
    </w:p>
    <w:p w14:paraId="15F3BE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 w:val="0"/>
          <w:snapToGrid w:val="0"/>
          <w:color w:val="000000"/>
          <w:kern w:val="0"/>
          <w:sz w:val="32"/>
          <w:szCs w:val="32"/>
          <w:lang w:val="en-US" w:eastAsia="en-US"/>
        </w:rPr>
      </w:pPr>
      <w:r>
        <w:rPr>
          <w:rFonts w:hint="eastAsia" w:ascii="黑体" w:hAnsi="黑体" w:eastAsia="黑体" w:cs="黑体"/>
          <w:b/>
          <w:bCs w:val="0"/>
          <w:snapToGrid w:val="0"/>
          <w:color w:val="000000"/>
          <w:kern w:val="0"/>
          <w:sz w:val="32"/>
          <w:szCs w:val="32"/>
          <w:lang w:val="en-US" w:eastAsia="en-US"/>
        </w:rPr>
        <w:t>七、存在的问题及原因分析</w:t>
      </w:r>
    </w:p>
    <w:p w14:paraId="7495451F">
      <w:pPr>
        <w:spacing w:line="58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1.资产管理制度及相关内部控制措施有待进一步完善。</w:t>
      </w:r>
    </w:p>
    <w:p w14:paraId="3FDD9F55">
      <w:pPr>
        <w:spacing w:line="58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2.固定资产有效利用有待进一步改进。</w:t>
      </w:r>
    </w:p>
    <w:p w14:paraId="1478D4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 w:val="0"/>
          <w:snapToGrid w:val="0"/>
          <w:color w:val="000000"/>
          <w:kern w:val="0"/>
          <w:sz w:val="32"/>
          <w:szCs w:val="32"/>
          <w:lang w:val="en-US" w:eastAsia="en-US"/>
        </w:rPr>
      </w:pPr>
      <w:r>
        <w:rPr>
          <w:rFonts w:hint="eastAsia" w:ascii="黑体" w:hAnsi="黑体" w:eastAsia="黑体" w:cs="黑体"/>
          <w:b/>
          <w:bCs w:val="0"/>
          <w:snapToGrid w:val="0"/>
          <w:color w:val="000000"/>
          <w:kern w:val="0"/>
          <w:sz w:val="32"/>
          <w:szCs w:val="32"/>
          <w:lang w:val="en-US" w:eastAsia="en-US"/>
        </w:rPr>
        <w:t>八、下一步改进措施</w:t>
      </w:r>
    </w:p>
    <w:p w14:paraId="5B69E897">
      <w:pPr>
        <w:spacing w:line="58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1.进一步完善内部管理制度，提高各项内部管理制度执行效率，细化资产管理制度，使制度更贴合单位实际工作，制度完善后严格遵守，按要求执行到底。</w:t>
      </w:r>
    </w:p>
    <w:p w14:paraId="65EF65DB">
      <w:pPr>
        <w:spacing w:line="58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eastAsia="en-US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2.进一步提高固定资产利用效率，加强日常维护与清查，让现有的固定资产发挥更大的作用。 </w:t>
      </w:r>
    </w:p>
    <w:p w14:paraId="250A00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 w:val="0"/>
          <w:snapToGrid w:val="0"/>
          <w:color w:val="000000"/>
          <w:kern w:val="0"/>
          <w:sz w:val="32"/>
          <w:szCs w:val="32"/>
          <w:lang w:val="en-US" w:eastAsia="en-US"/>
        </w:rPr>
      </w:pPr>
      <w:r>
        <w:rPr>
          <w:rFonts w:hint="eastAsia" w:ascii="黑体" w:hAnsi="黑体" w:eastAsia="黑体" w:cs="黑体"/>
          <w:b/>
          <w:bCs w:val="0"/>
          <w:snapToGrid w:val="0"/>
          <w:color w:val="000000"/>
          <w:kern w:val="0"/>
          <w:sz w:val="32"/>
          <w:szCs w:val="32"/>
          <w:lang w:val="en-US" w:eastAsia="zh-CN"/>
        </w:rPr>
        <w:t>九、</w:t>
      </w:r>
      <w:r>
        <w:rPr>
          <w:rFonts w:hint="eastAsia" w:ascii="黑体" w:hAnsi="黑体" w:eastAsia="黑体" w:cs="黑体"/>
          <w:b/>
          <w:bCs w:val="0"/>
          <w:snapToGrid w:val="0"/>
          <w:color w:val="000000"/>
          <w:kern w:val="0"/>
          <w:sz w:val="32"/>
          <w:szCs w:val="32"/>
          <w:lang w:val="en-US" w:eastAsia="en-US"/>
        </w:rPr>
        <w:t>其他需要说明的情况</w:t>
      </w:r>
    </w:p>
    <w:p w14:paraId="37E63DB5">
      <w:pPr>
        <w:spacing w:line="58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无</w:t>
      </w:r>
    </w:p>
    <w:p w14:paraId="60D936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19A8657D-C2EA-4975-B739-D6070488ACF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DEEE6EB-97AB-40EC-AAA6-261E135DA25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DF2E736-404C-460C-BADD-107EBB61AC6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869AD0F-BDF2-48A8-B883-80D9345C1EBF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E4639E2B-576E-41EC-8F2B-80A58862BD3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E949F70B-4009-4CE3-BEDA-B6FEE3FBE2BA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3E745A1F-4275-46A5-A3FA-B1EDB91661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CC78B">
    <w:pPr>
      <w:kinsoku w:val="0"/>
      <w:autoSpaceDE w:val="0"/>
      <w:autoSpaceDN w:val="0"/>
      <w:adjustRightInd w:val="0"/>
      <w:snapToGrid w:val="0"/>
      <w:spacing w:before="1" w:line="174" w:lineRule="auto"/>
      <w:jc w:val="right"/>
      <w:textAlignment w:val="baseline"/>
      <w:rPr>
        <w:rFonts w:ascii="仿宋" w:hAnsi="仿宋" w:eastAsia="仿宋" w:cs="仿宋"/>
        <w:snapToGrid w:val="0"/>
        <w:color w:val="000000"/>
        <w:kern w:val="0"/>
        <w:sz w:val="28"/>
        <w:szCs w:val="28"/>
        <w:lang w:val="en-US" w:eastAsia="en-US" w:bidi="ar-SA"/>
      </w:rPr>
    </w:pPr>
    <w:r>
      <w:rPr>
        <w:rFonts w:ascii="仿宋" w:hAnsi="仿宋" w:eastAsia="仿宋" w:cs="仿宋"/>
        <w:snapToGrid w:val="0"/>
        <w:color w:val="000000"/>
        <w:kern w:val="0"/>
        <w:sz w:val="28"/>
        <w:szCs w:val="31"/>
        <w:lang w:val="en-US" w:eastAsia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4BA3A1">
                          <w:pPr>
                            <w:tabs>
                              <w:tab w:val="center" w:pos="4153"/>
                              <w:tab w:val="right" w:pos="8306"/>
                            </w:tabs>
                            <w:kinsoku w:val="0"/>
                            <w:autoSpaceDE w:val="0"/>
                            <w:autoSpaceDN w:val="0"/>
                            <w:adjustRightInd w:val="0"/>
                            <w:snapToGrid w:val="0"/>
                            <w:spacing w:line="240" w:lineRule="auto"/>
                            <w:jc w:val="left"/>
                            <w:textAlignment w:val="baseline"/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fldChar w:fldCharType="begin"/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t>12</w:t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4BA3A1">
                    <w:pPr>
                      <w:tabs>
                        <w:tab w:val="center" w:pos="4153"/>
                        <w:tab w:val="right" w:pos="8306"/>
                      </w:tabs>
                      <w:kinsoku w:val="0"/>
                      <w:autoSpaceDE w:val="0"/>
                      <w:autoSpaceDN w:val="0"/>
                      <w:adjustRightInd w:val="0"/>
                      <w:snapToGrid w:val="0"/>
                      <w:spacing w:line="240" w:lineRule="auto"/>
                      <w:jc w:val="left"/>
                      <w:textAlignment w:val="baseline"/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</w:pP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fldChar w:fldCharType="begin"/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instrText xml:space="preserve"> PAGE  \* MERGEFORMAT </w:instrText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fldChar w:fldCharType="separate"/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t>12</w:t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仿宋" w:hAnsi="仿宋" w:eastAsia="仿宋" w:cs="仿宋"/>
        <w:snapToGrid w:val="0"/>
        <w:color w:val="000000"/>
        <w:spacing w:val="-13"/>
        <w:kern w:val="0"/>
        <w:sz w:val="28"/>
        <w:szCs w:val="28"/>
        <w:lang w:val="en-US" w:eastAsia="en-US" w:bidi="ar-SA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B01EE"/>
    <w:rsid w:val="01A20482"/>
    <w:rsid w:val="020138B9"/>
    <w:rsid w:val="032F0943"/>
    <w:rsid w:val="035C77AD"/>
    <w:rsid w:val="04A33E6D"/>
    <w:rsid w:val="04AE7D64"/>
    <w:rsid w:val="0746693C"/>
    <w:rsid w:val="0774558B"/>
    <w:rsid w:val="079C5691"/>
    <w:rsid w:val="094F7229"/>
    <w:rsid w:val="0A277F88"/>
    <w:rsid w:val="0A867334"/>
    <w:rsid w:val="0ABD7CC8"/>
    <w:rsid w:val="0EA85E0C"/>
    <w:rsid w:val="0F6234B9"/>
    <w:rsid w:val="10AE07F0"/>
    <w:rsid w:val="10C80F56"/>
    <w:rsid w:val="142D499F"/>
    <w:rsid w:val="15080D76"/>
    <w:rsid w:val="1514375E"/>
    <w:rsid w:val="15854A58"/>
    <w:rsid w:val="162E6DE7"/>
    <w:rsid w:val="16873904"/>
    <w:rsid w:val="17472B88"/>
    <w:rsid w:val="17A507B4"/>
    <w:rsid w:val="1EF6156E"/>
    <w:rsid w:val="209D1339"/>
    <w:rsid w:val="233E2629"/>
    <w:rsid w:val="23903897"/>
    <w:rsid w:val="243E638A"/>
    <w:rsid w:val="244B0C55"/>
    <w:rsid w:val="24B97EF1"/>
    <w:rsid w:val="25145B1A"/>
    <w:rsid w:val="25580737"/>
    <w:rsid w:val="262E3A06"/>
    <w:rsid w:val="2A2C6071"/>
    <w:rsid w:val="2A857405"/>
    <w:rsid w:val="2AFD12D2"/>
    <w:rsid w:val="2F285B77"/>
    <w:rsid w:val="2FC65970"/>
    <w:rsid w:val="30765D7E"/>
    <w:rsid w:val="30D91D15"/>
    <w:rsid w:val="31601FDE"/>
    <w:rsid w:val="318D1E8F"/>
    <w:rsid w:val="31F74821"/>
    <w:rsid w:val="321A12B6"/>
    <w:rsid w:val="32BD22DC"/>
    <w:rsid w:val="340450DD"/>
    <w:rsid w:val="37E561FC"/>
    <w:rsid w:val="39DA5780"/>
    <w:rsid w:val="3AE975C3"/>
    <w:rsid w:val="3CD522BD"/>
    <w:rsid w:val="3D524B70"/>
    <w:rsid w:val="3DC00A96"/>
    <w:rsid w:val="3E3D74E2"/>
    <w:rsid w:val="3EDC1F66"/>
    <w:rsid w:val="3F9E56EA"/>
    <w:rsid w:val="3FF31B6D"/>
    <w:rsid w:val="40242D00"/>
    <w:rsid w:val="40536AEA"/>
    <w:rsid w:val="40F44602"/>
    <w:rsid w:val="41386F50"/>
    <w:rsid w:val="430C1A45"/>
    <w:rsid w:val="433A3513"/>
    <w:rsid w:val="43E731C5"/>
    <w:rsid w:val="444F278C"/>
    <w:rsid w:val="44AC2BA3"/>
    <w:rsid w:val="45FA249F"/>
    <w:rsid w:val="474A34F2"/>
    <w:rsid w:val="47C27CED"/>
    <w:rsid w:val="480F61D0"/>
    <w:rsid w:val="489052BD"/>
    <w:rsid w:val="489A4503"/>
    <w:rsid w:val="48AF64A4"/>
    <w:rsid w:val="48E64D29"/>
    <w:rsid w:val="4AA14EFD"/>
    <w:rsid w:val="4B37752A"/>
    <w:rsid w:val="4BEC7B8E"/>
    <w:rsid w:val="4D4D4332"/>
    <w:rsid w:val="4F3455DF"/>
    <w:rsid w:val="4F454489"/>
    <w:rsid w:val="4FAC5E49"/>
    <w:rsid w:val="51332ADD"/>
    <w:rsid w:val="53321D5F"/>
    <w:rsid w:val="546C04FF"/>
    <w:rsid w:val="550B01EE"/>
    <w:rsid w:val="55C22544"/>
    <w:rsid w:val="57365579"/>
    <w:rsid w:val="58F22CB8"/>
    <w:rsid w:val="59BF52C9"/>
    <w:rsid w:val="59C334A6"/>
    <w:rsid w:val="5A235DC9"/>
    <w:rsid w:val="5B71246B"/>
    <w:rsid w:val="5BC05F44"/>
    <w:rsid w:val="5C1556CA"/>
    <w:rsid w:val="5C1C6FCA"/>
    <w:rsid w:val="5E022C2B"/>
    <w:rsid w:val="5F7B2052"/>
    <w:rsid w:val="5F88394B"/>
    <w:rsid w:val="61544A17"/>
    <w:rsid w:val="62F66B64"/>
    <w:rsid w:val="65DC1ED5"/>
    <w:rsid w:val="660F68F1"/>
    <w:rsid w:val="678B1278"/>
    <w:rsid w:val="68D77363"/>
    <w:rsid w:val="690D7DB3"/>
    <w:rsid w:val="69461CEF"/>
    <w:rsid w:val="6BFA36B7"/>
    <w:rsid w:val="6C757299"/>
    <w:rsid w:val="6D432C70"/>
    <w:rsid w:val="6D5A6A56"/>
    <w:rsid w:val="6FA355B4"/>
    <w:rsid w:val="6FF04B46"/>
    <w:rsid w:val="71CE287A"/>
    <w:rsid w:val="72604156"/>
    <w:rsid w:val="756A7204"/>
    <w:rsid w:val="766E1A60"/>
    <w:rsid w:val="777C4623"/>
    <w:rsid w:val="77CE0F48"/>
    <w:rsid w:val="7AE31998"/>
    <w:rsid w:val="7B454CD3"/>
    <w:rsid w:val="7BC110E2"/>
    <w:rsid w:val="7C1C25B8"/>
    <w:rsid w:val="7C316E5F"/>
    <w:rsid w:val="7C606846"/>
    <w:rsid w:val="7CD9427A"/>
    <w:rsid w:val="7D476DAB"/>
    <w:rsid w:val="7FDC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napToGrid w:val="0"/>
      <w:spacing w:beforeAutospacing="0" w:afterAutospacing="0" w:line="600" w:lineRule="exact"/>
      <w:ind w:firstLine="880" w:firstLineChars="200"/>
      <w:jc w:val="left"/>
      <w:outlineLvl w:val="0"/>
    </w:pPr>
    <w:rPr>
      <w:rFonts w:hint="eastAsia" w:ascii="黑体" w:hAnsi="黑体" w:eastAsia="黑体" w:cs="黑体"/>
      <w:kern w:val="44"/>
      <w:szCs w:val="32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1"/>
    </w:pPr>
    <w:rPr>
      <w:rFonts w:ascii="Arial" w:hAnsi="Arial" w:eastAsia="楷体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qFormat/>
    <w:uiPriority w:val="0"/>
    <w:pPr>
      <w:spacing w:after="120"/>
      <w:ind w:left="0" w:leftChars="0"/>
    </w:pPr>
  </w:style>
  <w:style w:type="paragraph" w:styleId="5">
    <w:name w:val="Title"/>
    <w:basedOn w:val="1"/>
    <w:qFormat/>
    <w:uiPriority w:val="0"/>
    <w:pPr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32"/>
    </w:rPr>
  </w:style>
  <w:style w:type="paragraph" w:styleId="6">
    <w:name w:val="Body Text First Indent 2"/>
    <w:basedOn w:val="4"/>
    <w:qFormat/>
    <w:uiPriority w:val="0"/>
    <w:pPr>
      <w:ind w:firstLine="420" w:firstLineChars="200"/>
    </w:pPr>
  </w:style>
  <w:style w:type="character" w:customStyle="1" w:styleId="9">
    <w:name w:val="标题 2 Char"/>
    <w:link w:val="3"/>
    <w:qFormat/>
    <w:uiPriority w:val="0"/>
    <w:rPr>
      <w:rFonts w:ascii="Arial" w:hAnsi="Arial" w:eastAsia="楷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728</Words>
  <Characters>757</Characters>
  <Lines>0</Lines>
  <Paragraphs>0</Paragraphs>
  <TotalTime>28</TotalTime>
  <ScaleCrop>false</ScaleCrop>
  <LinksUpToDate>false</LinksUpToDate>
  <CharactersWithSpaces>773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2025-06-12T09:51:00Z</dcterms:created>
  <dc:creator>汪文姣</dc:creator>
  <cp:lastModifiedBy>汪文姣</cp:lastModifiedBy>
  <dcterms:modified xsi:type="dcterms:W3CDTF">2025-06-13T02:13:58Z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806330D8B08140BBB3E5DB089F3893AD_11</vt:lpwstr>
  </property>
</Properties>
</file>