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" w:hAnsi="仿宋" w:eastAsia="仿宋" w:cs="仿宋"/>
          <w:snapToGrid/>
          <w:spacing w:val="0"/>
          <w:w w:val="100"/>
          <w:kern w:val="2"/>
          <w:sz w:val="32"/>
          <w:szCs w:val="32"/>
          <w:lang w:eastAsia="zh-CN"/>
        </w:rPr>
      </w:pPr>
    </w:p>
    <w:p w14:paraId="2D26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" w:hAnsi="仿宋" w:eastAsia="仿宋" w:cs="仿宋"/>
          <w:snapToGrid/>
          <w:spacing w:val="0"/>
          <w:w w:val="100"/>
          <w:kern w:val="2"/>
          <w:sz w:val="32"/>
          <w:szCs w:val="32"/>
          <w:lang w:eastAsia="zh-CN"/>
        </w:rPr>
      </w:pPr>
    </w:p>
    <w:p w14:paraId="3E1EC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320" w:firstLineChars="300"/>
        <w:textAlignment w:val="baseline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eastAsia="zh-CN"/>
        </w:rPr>
        <w:t>发展和改革局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整体支出</w:t>
      </w:r>
    </w:p>
    <w:p w14:paraId="13309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89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绩效自评报告</w:t>
      </w:r>
    </w:p>
    <w:p w14:paraId="3D80A165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8F0CE3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A55374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EB219C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8777C1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  <w:bookmarkStart w:id="1" w:name="_GoBack"/>
      <w:bookmarkEnd w:id="1"/>
    </w:p>
    <w:p w14:paraId="7E0F04E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07E4CB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A97B16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1FCC3A2"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</w:pPr>
    </w:p>
    <w:p w14:paraId="4ED73731"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</w:pPr>
    </w:p>
    <w:p w14:paraId="1DBBF1CD"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ind w:firstLine="1240" w:firstLineChars="400"/>
        <w:rPr>
          <w:spacing w:val="0"/>
        </w:rPr>
      </w:pPr>
    </w:p>
    <w:p w14:paraId="2BB9BC48"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ind w:firstLine="1240" w:firstLineChars="400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rFonts w:hint="eastAsia"/>
          <w:spacing w:val="0"/>
          <w:u w:val="single" w:color="auto"/>
          <w:lang w:val="en-US" w:eastAsia="zh-CN"/>
        </w:rPr>
        <w:t xml:space="preserve"> 岳阳</w:t>
      </w:r>
      <w:r>
        <w:rPr>
          <w:rFonts w:hint="eastAsia"/>
          <w:spacing w:val="0"/>
          <w:u w:val="single" w:color="auto"/>
          <w:lang w:eastAsia="zh-CN"/>
        </w:rPr>
        <w:t>市云溪区发展和改革局</w:t>
      </w:r>
      <w:r>
        <w:rPr>
          <w:spacing w:val="0"/>
          <w:u w:val="single" w:color="auto"/>
        </w:rPr>
        <w:t xml:space="preserve">  </w:t>
      </w:r>
    </w:p>
    <w:p w14:paraId="14DE1FBF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</w:pPr>
    </w:p>
    <w:p w14:paraId="6AC78ED7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</w:pPr>
    </w:p>
    <w:p w14:paraId="79B5D741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</w:pPr>
    </w:p>
    <w:p w14:paraId="71AA7877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 xml:space="preserve">2025 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年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月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日</w:t>
      </w:r>
    </w:p>
    <w:p w14:paraId="3DE57E72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48FC12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5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19873324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861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</w:p>
    <w:p w14:paraId="5E5D9B78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861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eastAsia="zh-CN"/>
        </w:rPr>
        <w:t>发展和改革局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整体支出</w:t>
      </w:r>
    </w:p>
    <w:p w14:paraId="1C781DE5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049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绩效自评报告</w:t>
      </w:r>
    </w:p>
    <w:p w14:paraId="22977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一、部门（单位）概况</w:t>
      </w:r>
    </w:p>
    <w:p w14:paraId="0DFCB09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云溪区发展和改革局</w:t>
      </w:r>
      <w:r>
        <w:rPr>
          <w:rFonts w:hint="eastAsia" w:ascii="仿宋_GB2312" w:eastAsia="仿宋_GB2312"/>
          <w:sz w:val="32"/>
          <w:szCs w:val="32"/>
        </w:rPr>
        <w:t>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个内设机构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办公室（政策法规股）、综合规划股（对外使用区国民经济动员办公室、区国防动员委员会装备动员办公室名称）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固定资产投资股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行政审批股（对外使用区招投标监督管理办公室名称）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资源节约和环境保护股(评估督导股)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长江经济带和洞庭湖发展办公室(简称“一带一区”办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价格管理股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成本调查股</w:t>
      </w:r>
      <w:r>
        <w:rPr>
          <w:rFonts w:hint="eastAsia" w:ascii="仿宋_GB2312" w:eastAsia="仿宋_GB2312"/>
          <w:sz w:val="32"/>
          <w:szCs w:val="32"/>
          <w:lang w:eastAsia="zh-CN"/>
        </w:rPr>
        <w:t>。设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3个二级机构：</w:t>
      </w:r>
      <w:r>
        <w:rPr>
          <w:rFonts w:hint="eastAsia" w:ascii="仿宋_GB2312" w:eastAsia="仿宋_GB2312"/>
          <w:sz w:val="32"/>
          <w:szCs w:val="32"/>
        </w:rPr>
        <w:t>岳阳市云溪区项目事务中心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岳阳市云溪区价格认证中心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岳阳市云溪区社会信用信息中心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所属二级机构未实行独立核算，全部纳入局机关2024年部门决算范围。</w:t>
      </w:r>
    </w:p>
    <w:p w14:paraId="0FAB1B0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年本单位年未实有人数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hint="eastAsia" w:ascii="仿宋_GB2312" w:eastAsia="仿宋_GB2312"/>
          <w:sz w:val="32"/>
          <w:szCs w:val="32"/>
          <w:lang w:eastAsia="zh-CN"/>
        </w:rPr>
        <w:t>公务员编制人数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10人，事业编制人数11人，其他人员2人，临聘人员4人，退休人员15人。</w:t>
      </w:r>
    </w:p>
    <w:p w14:paraId="1A79E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二、一般公共预算支出情况</w:t>
      </w:r>
    </w:p>
    <w:p w14:paraId="7BC4F322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（一）基本支出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情况</w:t>
      </w:r>
    </w:p>
    <w:p w14:paraId="5A4340AC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年费用总额872.01万元，其中：工资福利费用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390.88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44.83</w:t>
      </w:r>
      <w:r>
        <w:rPr>
          <w:rFonts w:hint="eastAsia" w:ascii="仿宋_GB2312" w:eastAsia="仿宋_GB2312"/>
          <w:sz w:val="32"/>
          <w:szCs w:val="32"/>
        </w:rPr>
        <w:t>%；商品和服务费用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26.61</w:t>
      </w:r>
      <w:r>
        <w:rPr>
          <w:rFonts w:hint="eastAsia" w:ascii="仿宋_GB2312" w:eastAsia="仿宋_GB2312"/>
          <w:sz w:val="32"/>
          <w:szCs w:val="32"/>
        </w:rPr>
        <w:t>%；对个人和家庭的补助费用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29.33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3.36</w:t>
      </w:r>
      <w:r>
        <w:rPr>
          <w:rFonts w:hint="eastAsia" w:ascii="仿宋_GB2312" w:eastAsia="仿宋_GB2312"/>
          <w:sz w:val="32"/>
          <w:szCs w:val="32"/>
        </w:rPr>
        <w:t>%；对企业补助费用181.82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29.33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20.85</w:t>
      </w:r>
      <w:r>
        <w:rPr>
          <w:rFonts w:hint="eastAsia" w:ascii="仿宋_GB2312" w:eastAsia="仿宋_GB2312"/>
          <w:sz w:val="32"/>
          <w:szCs w:val="32"/>
        </w:rPr>
        <w:t>%；固定资产折旧费用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32.5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3.73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无形资产摊销费用5.4829.33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AAA90B9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（二）项目</w:t>
      </w:r>
      <w:r>
        <w:rPr>
          <w:rFonts w:hint="eastAsia" w:ascii="仿宋_GB2312" w:eastAsia="仿宋_GB2312"/>
          <w:b/>
          <w:bCs/>
          <w:sz w:val="32"/>
          <w:szCs w:val="32"/>
        </w:rPr>
        <w:t>支出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情况</w:t>
      </w:r>
    </w:p>
    <w:p w14:paraId="5CEE8DB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2024年度专项支出220.26万元，主要用于重大项目前期经费及专家咨询支出；资金使用和管理严格按照局机关年初制定的各项规章制度，资金使用和管理严格按照局机关年初制定的各项规章制度，严格执行分限额审核、“一支笔”审批制度，所有报销凭证，必须有经办人、证明人、审核人和审批人签字后方可报销。一次性开支1000元（含1000元）以内的，由分管局长签字报销；1000元以上开支须报局长同意、10000元（含10000元）以上开支须由党组集体研究同意后方可报销。严格按财务制度执行，确保项目资金使用规范合理。按照《机关管理制度》，从财务管理、廉政制度、奖励制度等方面加以规范，以制度管人管事，由纪检组长负责日常的检查监督。</w:t>
      </w:r>
    </w:p>
    <w:p w14:paraId="05459E2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二是除专项资金以外的其他项目支出181.82万元，是中央省市对企业的奖补资金，由我局拨付给企业。</w:t>
      </w:r>
    </w:p>
    <w:p w14:paraId="4A20D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三、政府性基金预算支出情况</w:t>
      </w:r>
    </w:p>
    <w:p w14:paraId="21507E4C">
      <w:pPr>
        <w:pStyle w:val="2"/>
        <w:numPr>
          <w:ilvl w:val="0"/>
          <w:numId w:val="0"/>
        </w:numPr>
        <w:rPr>
          <w:rFonts w:hint="default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无</w:t>
      </w:r>
    </w:p>
    <w:p w14:paraId="232DB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四、国有资本经营预算支出情况</w:t>
      </w:r>
    </w:p>
    <w:p w14:paraId="3DE885F5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无</w:t>
      </w:r>
    </w:p>
    <w:p w14:paraId="353CE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社会保险基金预算支出情况</w:t>
      </w:r>
    </w:p>
    <w:p w14:paraId="6FE69EE3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2024年机关养老保险支出369573.09元；医疗保险支出104797.76元；职业年金支出17917.56元；住房公积金支出301366元；其他保险支出19981.74元。</w:t>
      </w:r>
    </w:p>
    <w:p w14:paraId="08655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五、部门整体支出绩效情况</w:t>
      </w:r>
    </w:p>
    <w:p w14:paraId="710CBD8D">
      <w:pPr>
        <w:ind w:firstLine="56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2024年度，我局严格按照区财政下发的各项指标，严控三公经费开支，节约支出，全面落实国民经济发展责任制，加强物价监管，全区国民经济和社会发展形势稳定。</w:t>
      </w:r>
      <w:r>
        <w:rPr>
          <w:rFonts w:hint="eastAsia" w:ascii="楷体_GB2312" w:hAnsi="方正楷体_GB2312" w:eastAsia="楷体_GB2312" w:cs="方正楷体_GB2312"/>
          <w:b/>
          <w:bCs/>
          <w:sz w:val="32"/>
          <w:szCs w:val="32"/>
        </w:rPr>
        <w:t>（一）经济指标抗压增长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面对全球经济下行投资低迷，特别是先后接受国家和省统计督查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我们围绕牵头的经济指标，及时调整工作思路，做到两个加大：</w:t>
      </w:r>
      <w:r>
        <w:rPr>
          <w:rFonts w:hint="eastAsia" w:ascii="仿宋_GB2312" w:eastAsia="仿宋_GB2312"/>
          <w:b/>
          <w:bCs/>
          <w:sz w:val="32"/>
          <w:szCs w:val="32"/>
        </w:rPr>
        <w:t>一是加大项目入统力度。</w:t>
      </w:r>
      <w:r>
        <w:rPr>
          <w:rFonts w:hint="eastAsia" w:ascii="仿宋_GB2312" w:eastAsia="仿宋_GB2312"/>
          <w:sz w:val="32"/>
          <w:szCs w:val="32"/>
        </w:rPr>
        <w:t>对符合入统条件的项目，每月进行周密排查，确保应统尽统，对部分项目创造条件入统，确保项目投资“颗粒归仓”，做大投资盘子。</w:t>
      </w:r>
      <w:r>
        <w:rPr>
          <w:rFonts w:hint="eastAsia" w:ascii="仿宋_GB2312" w:eastAsia="仿宋_GB2312"/>
          <w:b/>
          <w:bCs/>
          <w:sz w:val="32"/>
          <w:szCs w:val="32"/>
        </w:rPr>
        <w:t>二是加大挖潜力度。</w:t>
      </w:r>
      <w:r>
        <w:rPr>
          <w:rFonts w:hint="eastAsia" w:ascii="仿宋_GB2312" w:eastAsia="仿宋_GB2312"/>
          <w:sz w:val="32"/>
          <w:szCs w:val="32"/>
        </w:rPr>
        <w:t>加大争资项目和政府投资项目建设进度，政府投资项目完成投资占全区完成投资10.49%。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全年地区生产总值增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6.1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%；规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模工业增加值增长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19.37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%；固定资产投资增长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11.76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%；社会消费品零售总额增长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%；一般公共预算地方收入增</w:t>
      </w:r>
      <w:r>
        <w:rPr>
          <w:rFonts w:hint="default" w:ascii="仿宋_GB2312" w:eastAsia="仿宋_GB2312" w:cs="仿宋_GB2312"/>
          <w:color w:val="auto"/>
          <w:spacing w:val="0"/>
          <w:sz w:val="32"/>
          <w:szCs w:val="32"/>
          <w:lang w:val="en-US" w:bidi="ar-SA"/>
        </w:rPr>
        <w:t>8.3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%；城镇居民人均可支配收入增长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3.8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bidi="ar-SA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楷体_GB2312" w:hAnsi="方正楷体_GB2312" w:eastAsia="楷体_GB2312" w:cs="方正楷体_GB2312"/>
          <w:b/>
          <w:bCs/>
          <w:sz w:val="32"/>
          <w:szCs w:val="32"/>
        </w:rPr>
        <w:t>（二）争资争项全面发力。</w:t>
      </w:r>
      <w:r>
        <w:rPr>
          <w:rFonts w:hint="eastAsia" w:ascii="仿宋_GB2312" w:eastAsia="仿宋_GB2312"/>
          <w:sz w:val="32"/>
          <w:szCs w:val="32"/>
        </w:rPr>
        <w:t>紧盯万亿国债、“两重”“两新”等国家宏观政策，全力争取上级资金扩内需。</w:t>
      </w:r>
      <w:r>
        <w:rPr>
          <w:rFonts w:hint="eastAsia" w:ascii="仿宋_GB2312" w:eastAsia="仿宋_GB2312"/>
          <w:sz w:val="32"/>
          <w:szCs w:val="32"/>
          <w:lang w:eastAsia="zh-CN"/>
        </w:rPr>
        <w:t>争取各类</w:t>
      </w:r>
      <w:r>
        <w:rPr>
          <w:rFonts w:hint="eastAsia" w:ascii="仿宋_GB2312" w:eastAsia="仿宋_GB2312"/>
          <w:sz w:val="32"/>
          <w:szCs w:val="32"/>
        </w:rPr>
        <w:t>资金13.54亿元，完成市定任务109.6%，较上年增长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40.3</w:t>
      </w:r>
      <w:r>
        <w:rPr>
          <w:rFonts w:hint="eastAsia" w:ascii="仿宋_GB2312" w:eastAsia="仿宋_GB2312"/>
          <w:sz w:val="32"/>
          <w:szCs w:val="32"/>
        </w:rPr>
        <w:t>%，其中发改口争取项目26个争取资金6.2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亿元，同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</w:rPr>
        <w:t>增长340%，争资项目个数和争资金额均创历史新高。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一是突出系统谋划。</w:t>
      </w:r>
      <w:r>
        <w:rPr>
          <w:rFonts w:hint="eastAsia" w:ascii="仿宋_GB2312" w:eastAsia="仿宋_GB2312"/>
          <w:sz w:val="32"/>
          <w:szCs w:val="32"/>
        </w:rPr>
        <w:t>根据中央政策投向和我区实际需求，整合各部门资源，按期按批申报项目。已滚动谋划储备2025年争资项目7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个，计划总投资</w:t>
      </w:r>
      <w:r>
        <w:rPr>
          <w:rFonts w:hint="eastAsia" w:ascii="仿宋_GB2312" w:eastAsia="仿宋_GB2312"/>
          <w:sz w:val="32"/>
          <w:szCs w:val="32"/>
          <w:lang w:eastAsia="zh-CN"/>
        </w:rPr>
        <w:t>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亿元，拟争取资金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30多</w:t>
      </w:r>
      <w:r>
        <w:rPr>
          <w:rFonts w:hint="eastAsia" w:ascii="仿宋_GB2312" w:eastAsia="仿宋_GB2312"/>
          <w:sz w:val="32"/>
          <w:szCs w:val="32"/>
        </w:rPr>
        <w:t>亿元。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二是突出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  <w:lang w:eastAsia="zh-CN"/>
        </w:rPr>
        <w:t>整体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联动。</w:t>
      </w:r>
      <w:r>
        <w:rPr>
          <w:rFonts w:hint="eastAsia" w:ascii="仿宋_GB2312" w:eastAsia="仿宋_GB2312"/>
          <w:sz w:val="32"/>
          <w:szCs w:val="32"/>
        </w:rPr>
        <w:t>各部门间围绕争资争项工作，在项目的审批、建设和申报上加强协作协调。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三是突出重大项目。</w:t>
      </w:r>
      <w:r>
        <w:rPr>
          <w:rFonts w:hint="eastAsia" w:ascii="仿宋_GB2312" w:eastAsia="仿宋_GB2312"/>
          <w:sz w:val="32"/>
          <w:szCs w:val="32"/>
        </w:rPr>
        <w:t>整合资源，积极谋划大项目，提高项目竞争力，确保项目实施后发挥示范效应。今年争资额度5000万元以上的项目达到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个。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（三）项目建设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扎实推进</w:t>
      </w:r>
      <w:r>
        <w:rPr>
          <w:rFonts w:hint="eastAsia" w:ascii="楷体_GB2312" w:eastAsia="楷体_GB2312"/>
          <w:b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聚焦“手续齐全率、投资完成率、投资纳统率、竣工投产率”全力推动省、市、区重点项目以及已争资项目加快建设，推动项目尽快形成足量有效投资。13个省市重点项目全部开工建设，岳化新材料尼龙-6、100万吨/年连续重整联合装置建成投产，年产17万吨高性能环氧树脂、年产5万吨环氧氯丙烷等项目进展顺利。同时，我们认真督促已争资项目如期开工并按序时完成实物工作量，防止进入负面清单从项目立项、初设、概算、招标、建设、变更、结算等全过程加强政府性投资项目管理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个政府投资项目进行概算审查，核减资金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超1亿</w:t>
      </w:r>
      <w:r>
        <w:rPr>
          <w:rFonts w:hint="eastAsia" w:ascii="仿宋_GB2312" w:eastAsia="仿宋_GB2312"/>
          <w:sz w:val="32"/>
          <w:szCs w:val="32"/>
        </w:rPr>
        <w:t>元，审减率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9.8</w:t>
      </w:r>
      <w:r>
        <w:rPr>
          <w:rFonts w:hint="eastAsia" w:ascii="仿宋_GB2312" w:eastAsia="仿宋_GB2312"/>
          <w:sz w:val="32"/>
          <w:szCs w:val="32"/>
        </w:rPr>
        <w:t>%，坚决落实“过紧日子”和厉行节约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反对浪费要求，印发《关于进一步加强项目建设管理的通知》，有效防范政府债务风险。</w:t>
      </w:r>
      <w:r>
        <w:rPr>
          <w:rFonts w:hint="eastAsia" w:ascii="楷体_GB2312" w:hAnsi="方正楷体_GB2312" w:eastAsia="楷体_GB2312" w:cs="方正楷体_GB2312"/>
          <w:b/>
          <w:bCs/>
          <w:sz w:val="32"/>
          <w:szCs w:val="32"/>
        </w:rPr>
        <w:t>（</w:t>
      </w:r>
      <w:r>
        <w:rPr>
          <w:rFonts w:hint="eastAsia" w:ascii="楷体_GB2312" w:hAnsi="方正楷体_GB2312" w:eastAsia="楷体_GB2312" w:cs="方正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方正楷体_GB2312" w:eastAsia="楷体_GB2312" w:cs="方正楷体_GB2312"/>
          <w:b/>
          <w:bCs/>
          <w:sz w:val="32"/>
          <w:szCs w:val="32"/>
        </w:rPr>
        <w:t>）改革攻坚取得突破。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一是促进企业降本增效。</w:t>
      </w:r>
      <w:r>
        <w:rPr>
          <w:rFonts w:hint="eastAsia" w:ascii="仿宋_GB2312" w:eastAsia="仿宋_GB2312"/>
          <w:sz w:val="32"/>
          <w:szCs w:val="32"/>
        </w:rPr>
        <w:t>针对困扰我区园区企业多年来工业天然气价格居高不下难题，多次深入园区企业和周边县市区进行走访调研，建立天然气上下游面对面交流沟通机制，先后与华润燃气、昆仑燃气、大唐燃气等企业就气源、直供等开展研讨和协商，积极向上级能源部门汇报争取政策支持。目前，已与华润公司达成“一园一策”供气合作协议，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为园区企业每立方用气降价成本0.2-1.3元，</w:t>
      </w:r>
      <w:r>
        <w:rPr>
          <w:rFonts w:hint="eastAsia" w:ascii="仿宋_GB2312" w:eastAsia="仿宋_GB2312"/>
          <w:sz w:val="32"/>
          <w:szCs w:val="32"/>
          <w:lang w:eastAsia="zh-CN"/>
        </w:rPr>
        <w:t>预计</w:t>
      </w:r>
      <w:r>
        <w:rPr>
          <w:rFonts w:hint="eastAsia" w:ascii="仿宋_GB2312" w:eastAsia="仿宋_GB2312"/>
          <w:sz w:val="32"/>
          <w:szCs w:val="32"/>
        </w:rPr>
        <w:t>全年为园区企业节约天然气成本近亿元。</w:t>
      </w: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二是推动审批制度改革。</w:t>
      </w:r>
      <w:r>
        <w:rPr>
          <w:rFonts w:hint="eastAsia" w:ascii="仿宋_GB2312" w:eastAsia="仿宋_GB2312"/>
          <w:sz w:val="32"/>
          <w:szCs w:val="32"/>
        </w:rPr>
        <w:t>出台《关于进一步加强项目建设管理的通知》，进一步健全项目管理，严守债务风险。建设“投资项目监管平台”，通过项目建设全生命周期网上审批、在线监管模式，全力打造项目建设“一件事一次办”升级版，立项审批时间可压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sz w:val="32"/>
          <w:szCs w:val="32"/>
        </w:rPr>
        <w:t>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年我们严格资金管理，确保每一分钱都用在刀刃上，都能收到实效，对照整体支出绩效评价指标自我评分，我们认为自评分为9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分。但由于客观原因影响，财务管理有待于进一步规范。在今后，我们会吸收先进管理经验，严格财务管理，节约开支，提高资金使用效率，履行发改参谋助手作用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确保区域经济持续健康发展。</w:t>
      </w:r>
    </w:p>
    <w:p w14:paraId="2268519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七、存在的问题及原因分析</w:t>
      </w:r>
    </w:p>
    <w:p w14:paraId="2AEC320C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一是管理制度建设还需进一步完善。</w:t>
      </w:r>
    </w:p>
    <w:p w14:paraId="6C44C856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二是工作缺乏创新，在精度和深度上欠缺。</w:t>
      </w:r>
    </w:p>
    <w:p w14:paraId="7114A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八、下一步改进措施</w:t>
      </w:r>
    </w:p>
    <w:p w14:paraId="521FAC5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一是健全制度，制订项目前期工作经费管理办法。</w:t>
      </w:r>
    </w:p>
    <w:p w14:paraId="4D79DCA2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二是大力开展企业帮扶，争取上级更多奖补项目资金。</w:t>
      </w:r>
    </w:p>
    <w:p w14:paraId="295A24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九、其他需要说明的情况</w:t>
      </w:r>
    </w:p>
    <w:p w14:paraId="3315F812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376F18CE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F453BB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A41823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6E3F84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  <w:bookmarkStart w:id="0" w:name="OLE_LINK5"/>
    </w:p>
    <w:p w14:paraId="5073BC6E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</w:p>
    <w:p w14:paraId="41B7DD79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</w:p>
    <w:p w14:paraId="53D1B9A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</w:p>
    <w:p w14:paraId="5EFDF0A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</w:p>
    <w:bookmarkEnd w:id="0"/>
    <w:p w14:paraId="355C507F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6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DC986F3-9732-4990-9A95-E0F5708E28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82AAE0-4ABE-4FF0-875A-E2E6700566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36D54E-8BE7-4CB9-8D02-4F87E43BC0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B29305-1971-4869-A487-7A1EBD0D8C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42FADE4F-9863-4221-A863-C167616208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83A43FA-4089-4DF9-986F-487BFA123A3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B66B881-8980-4681-A109-D7C24BD5CAEF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A193DD85-E38B-4C8F-8D22-3249F2B6B1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54C2">
    <w:pPr>
      <w:pStyle w:val="4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4D67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4D67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F5C5">
    <w:pPr>
      <w:pStyle w:val="4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6F92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6F92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lMmU3NmE5YmMzZDVhY2ViNzE3Y2E1MjIxYjI5OTAifQ=="/>
  </w:docVars>
  <w:rsids>
    <w:rsidRoot w:val="00000000"/>
    <w:rsid w:val="00A858BD"/>
    <w:rsid w:val="02062C6E"/>
    <w:rsid w:val="02641C78"/>
    <w:rsid w:val="042803FD"/>
    <w:rsid w:val="04C10F55"/>
    <w:rsid w:val="05D80FC6"/>
    <w:rsid w:val="07B6268B"/>
    <w:rsid w:val="07C136C9"/>
    <w:rsid w:val="08271494"/>
    <w:rsid w:val="089805D5"/>
    <w:rsid w:val="08B02EEB"/>
    <w:rsid w:val="09382467"/>
    <w:rsid w:val="0A173A74"/>
    <w:rsid w:val="0B957346"/>
    <w:rsid w:val="0BEA7692"/>
    <w:rsid w:val="0C1E4676"/>
    <w:rsid w:val="0C6C30D3"/>
    <w:rsid w:val="0DD43A3C"/>
    <w:rsid w:val="0DE27833"/>
    <w:rsid w:val="148B307B"/>
    <w:rsid w:val="1655109A"/>
    <w:rsid w:val="17914E66"/>
    <w:rsid w:val="1A565A3B"/>
    <w:rsid w:val="1A5760D9"/>
    <w:rsid w:val="1A602B0E"/>
    <w:rsid w:val="1A673374"/>
    <w:rsid w:val="1CA1755B"/>
    <w:rsid w:val="1DAB08FD"/>
    <w:rsid w:val="1DD41F50"/>
    <w:rsid w:val="1EB268D8"/>
    <w:rsid w:val="1F861224"/>
    <w:rsid w:val="201C7C2D"/>
    <w:rsid w:val="20432151"/>
    <w:rsid w:val="219426BC"/>
    <w:rsid w:val="22361730"/>
    <w:rsid w:val="241B705C"/>
    <w:rsid w:val="25F501E4"/>
    <w:rsid w:val="277F0D47"/>
    <w:rsid w:val="278E3554"/>
    <w:rsid w:val="292C0E92"/>
    <w:rsid w:val="29484B6A"/>
    <w:rsid w:val="2A0A0391"/>
    <w:rsid w:val="2A1B7116"/>
    <w:rsid w:val="2AD27987"/>
    <w:rsid w:val="2B597F39"/>
    <w:rsid w:val="2B80628B"/>
    <w:rsid w:val="2C057779"/>
    <w:rsid w:val="2C555D5E"/>
    <w:rsid w:val="2C9C2318"/>
    <w:rsid w:val="2CA6277F"/>
    <w:rsid w:val="2CE42D59"/>
    <w:rsid w:val="2DF32160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7B77C8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41250249"/>
    <w:rsid w:val="44A57033"/>
    <w:rsid w:val="45507871"/>
    <w:rsid w:val="46CB3641"/>
    <w:rsid w:val="4869695A"/>
    <w:rsid w:val="48D03190"/>
    <w:rsid w:val="4BD66E26"/>
    <w:rsid w:val="4D717620"/>
    <w:rsid w:val="4DF27705"/>
    <w:rsid w:val="4E3E294A"/>
    <w:rsid w:val="4F4E1C3F"/>
    <w:rsid w:val="4FD95020"/>
    <w:rsid w:val="50E05DC9"/>
    <w:rsid w:val="5144296E"/>
    <w:rsid w:val="51DD247A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C35640B"/>
    <w:rsid w:val="5C766531"/>
    <w:rsid w:val="5E421FE3"/>
    <w:rsid w:val="5EA573A1"/>
    <w:rsid w:val="5F724B4A"/>
    <w:rsid w:val="5FDA031C"/>
    <w:rsid w:val="5FF03618"/>
    <w:rsid w:val="62230294"/>
    <w:rsid w:val="627A1A44"/>
    <w:rsid w:val="63461508"/>
    <w:rsid w:val="64E94E5B"/>
    <w:rsid w:val="661B0340"/>
    <w:rsid w:val="67752C6B"/>
    <w:rsid w:val="69446A6A"/>
    <w:rsid w:val="69755D9C"/>
    <w:rsid w:val="6A794FDE"/>
    <w:rsid w:val="6A97623F"/>
    <w:rsid w:val="6B3C01C5"/>
    <w:rsid w:val="6CCD6FD3"/>
    <w:rsid w:val="6CCF2536"/>
    <w:rsid w:val="6D734D23"/>
    <w:rsid w:val="6DAD3E81"/>
    <w:rsid w:val="6F8B7571"/>
    <w:rsid w:val="70476D35"/>
    <w:rsid w:val="7059793F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2453</Words>
  <Characters>2685</Characters>
  <TotalTime>13</TotalTime>
  <ScaleCrop>false</ScaleCrop>
  <LinksUpToDate>false</LinksUpToDate>
  <CharactersWithSpaces>2711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郑清平</cp:lastModifiedBy>
  <cp:lastPrinted>2025-07-07T02:58:22Z</cp:lastPrinted>
  <dcterms:modified xsi:type="dcterms:W3CDTF">2025-07-07T02:58:27Z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2052-12.1.0.20784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eyJoZGlkIjoiNDMyZWFjYTMwYzVhNzFjOWM2MjFlMGMxYWZlYTAzY2EiLCJ1c2VySWQiOiIxNTg1NTYxMjQwIn0=</vt:lpwstr>
  </property>
</Properties>
</file>