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560" w:lineRule="exact"/>
        <w:jc w:val="center"/>
        <w:textAlignment w:val="baseline"/>
        <w:outlineLvl w:val="1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3"/>
          <w:sz w:val="30"/>
          <w:szCs w:val="30"/>
          <w:lang w:val="en-US" w:eastAsia="zh-CN"/>
        </w:rPr>
        <w:t>区数据局2024年部门整体支出绩效自评报告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firstLine="542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一、部门(单位)概况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行政审批服务局为独立核算的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单位。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年实有在职职工2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人，为公务员编制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人，事业编制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人，辅助性岗位10人。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3" w:line="240" w:lineRule="auto"/>
        <w:ind w:firstLine="518" w:firstLineChars="200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一般公共预算支出情况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本年支出合计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1067.02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万元，其中：基本支出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194.16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万元，占本年总支出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18.2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%。基本支出主要用于单位人员支出和公用支出。项目支出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872.26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万元，占本年总支出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81.8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%。用于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政务大厅租赁费、物业费、政务外网租赁费，12345热线维护费、提质扩容建设等支出。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(二)项目支出情况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项目支出872.26万元，其中：岳商通服务费19万元，主要用于岳商通平台维护费；劳务费66万元，主要用于辅助性岗位工作人员及保安保洁年工资；政务外网升级改造费用16万元，主要用于全区政务外网升级改造；大厅运行费用232万元，主要用于政务大厅运行维护费用；一门式全覆盖费用5.02万元，主要用于基层公共服务一门式服务年费；服装费5万元，主要是用于24名工作人员着装费；12345网络维护费11万元，主要是用于12345热线及政务外网维护费；政务外网租赁费59.84万元，主要办事用于全区政务外网网关租赁费，公章刻制10万元，主要是用于企业开办首套公章免费费用；大厅租金90.19万元及物业费11.43万元，主要是用于政务大厅租金及物业费；大厅提质扩容费72.61万元，主要用于政务大厅提质扩容建设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240" w:lineRule="auto"/>
        <w:ind w:firstLine="546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政府性基金预算支出情况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国有资本经营预算支出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情况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社会保险基金预算支出情况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社会保险基金支出27.10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万元。主要用于在编人员五险一金缴纳。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六、部门整体支出绩效情况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年，我单位较好的完成了预算编制时提出的绩效目标，保障了政务大厅的正常运行，为办事群众和企业提供了优质服务，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群众满意率95%以上，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有效确保了社会发展的安全稳定。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七、存在的问题及原因分析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1、绩效运行监控不到位；2、结果运用不充分。原因是在项目执行过程中，对资金使用监控不够严格，项目完成后，对项目成果的评估和反馈不及时。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八、下一步改进措施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1、加强培训学习；2加强绩效指标监控；加强结果运用。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九、其他需要说明的情况</w:t>
      </w:r>
    </w:p>
    <w:p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ZDYzZDg0ZTVkYTc5ZjEyZDVhMWE5Zjg3NDVmMmMifQ=="/>
  </w:docVars>
  <w:rsids>
    <w:rsidRoot w:val="00000000"/>
    <w:rsid w:val="05726DA2"/>
    <w:rsid w:val="1B380A88"/>
    <w:rsid w:val="3ADB1EC9"/>
    <w:rsid w:val="4A4756D4"/>
    <w:rsid w:val="4D14166A"/>
    <w:rsid w:val="4EAA6232"/>
    <w:rsid w:val="4F54448B"/>
    <w:rsid w:val="7BB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2025-06-03T08:31:00Z</dcterms:created>
  <dc:creator>Administrator</dc:creator>
  <cp:lastModifiedBy>思雨</cp:lastModifiedBy>
  <dcterms:modified xsi:type="dcterms:W3CDTF">2025-06-04T06:30:23Z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DC7EED55086E4274B4C8FA63B971E8F0_12</vt:lpwstr>
  </property>
</Properties>
</file>