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云溪区云溪街道办事处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b w:val="0"/>
          <w:i w:val="0"/>
          <w:caps w:val="0"/>
          <w:color w:val="000000"/>
          <w:spacing w:val="0"/>
          <w:sz w:val="24"/>
          <w:szCs w:val="24"/>
          <w:lang w:eastAsia="zh-CN"/>
        </w:rPr>
      </w:pPr>
      <w:r>
        <w:rPr>
          <w:rFonts w:hint="eastAsia" w:ascii="方正小标宋简体" w:hAnsi="方正小标宋简体" w:eastAsia="方正小标宋简体" w:cs="方正小标宋简体"/>
          <w:color w:val="auto"/>
          <w:sz w:val="44"/>
          <w:szCs w:val="44"/>
          <w:lang w:val="en-US" w:eastAsia="zh-CN"/>
        </w:rPr>
        <w:t>2024年度政府信息公开工作年度报告</w:t>
      </w:r>
    </w:p>
    <w:p>
      <w:pPr>
        <w:keepNext w:val="0"/>
        <w:keepLines w:val="0"/>
        <w:pageBreakBefore w:val="0"/>
        <w:widowControl w:val="0"/>
        <w:kinsoku/>
        <w:wordWrap/>
        <w:overflowPunct/>
        <w:topLinePunct/>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根据《中华人民共和国政府信息公开条例》（以下简称《条例》）规定和《云溪区行政审批服务局关于</w:t>
      </w:r>
      <w:r>
        <w:rPr>
          <w:rFonts w:hint="eastAsia" w:ascii="仿宋_GB2312" w:hAnsi="仿宋_GB2312" w:eastAsia="仿宋_GB2312" w:cs="仿宋_GB2312"/>
          <w:sz w:val="32"/>
          <w:szCs w:val="32"/>
          <w:lang w:eastAsia="zh-CN"/>
        </w:rPr>
        <w:t>做好2024</w:t>
      </w:r>
      <w:r>
        <w:rPr>
          <w:rFonts w:hint="eastAsia" w:ascii="仿宋_GB2312" w:hAnsi="仿宋_GB2312" w:eastAsia="仿宋_GB2312" w:cs="仿宋_GB2312"/>
          <w:sz w:val="32"/>
          <w:szCs w:val="32"/>
        </w:rPr>
        <w:t>年政府信息公开工作</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告</w:t>
      </w:r>
      <w:r>
        <w:rPr>
          <w:rFonts w:hint="eastAsia" w:ascii="仿宋_GB2312" w:hAnsi="仿宋_GB2312" w:eastAsia="仿宋_GB2312" w:cs="仿宋_GB2312"/>
          <w:sz w:val="32"/>
          <w:szCs w:val="32"/>
          <w:lang w:eastAsia="zh-CN"/>
        </w:rPr>
        <w:t>编发工作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》的要求，特向社会公开</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年度云溪街道办事处信息公开年度报告。全文包括概述、政府信息主动公开情况、依申请公开政府信息办理情况以及存在的主要问题和改进措施等。本报告信息数据统计期限为：</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年1月1日—</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概述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认真贯彻国家和省、市、区关于政务公开和政府信息公开的有关要求，坚持依法行政，深化信息公开，不断增强政府工作透明度，保障了人民群众的知情权、参与权和监督权。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rPr>
        <w:t>组织领导，</w:t>
      </w:r>
      <w:r>
        <w:rPr>
          <w:rFonts w:hint="eastAsia" w:ascii="仿宋_GB2312" w:hAnsi="仿宋_GB2312" w:eastAsia="仿宋_GB2312" w:cs="仿宋_GB2312"/>
          <w:b/>
          <w:bCs/>
          <w:sz w:val="32"/>
          <w:szCs w:val="32"/>
          <w:lang w:eastAsia="zh-CN"/>
        </w:rPr>
        <w:t>健全工作机制。</w:t>
      </w:r>
      <w:r>
        <w:rPr>
          <w:rFonts w:hint="eastAsia" w:ascii="仿宋_GB2312" w:hAnsi="仿宋_GB2312" w:eastAsia="仿宋_GB2312" w:cs="仿宋_GB2312"/>
          <w:color w:val="auto"/>
          <w:sz w:val="32"/>
          <w:szCs w:val="32"/>
          <w:lang w:eastAsia="zh-CN"/>
        </w:rPr>
        <w:t>云溪街道</w:t>
      </w:r>
      <w:r>
        <w:rPr>
          <w:rFonts w:hint="eastAsia" w:ascii="仿宋_GB2312" w:hAnsi="仿宋_GB2312" w:eastAsia="仿宋_GB2312" w:cs="仿宋_GB2312"/>
          <w:color w:val="auto"/>
          <w:sz w:val="32"/>
          <w:szCs w:val="32"/>
        </w:rPr>
        <w:t>高度重视</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rPr>
        <w:t>公开工作，</w:t>
      </w:r>
      <w:r>
        <w:rPr>
          <w:rFonts w:hint="eastAsia" w:ascii="仿宋_GB2312" w:hAnsi="仿宋_GB2312" w:eastAsia="仿宋_GB2312" w:cs="仿宋_GB2312"/>
          <w:color w:val="auto"/>
          <w:sz w:val="32"/>
          <w:szCs w:val="32"/>
          <w:lang w:eastAsia="zh-CN"/>
        </w:rPr>
        <w:t>坚持把政府信息</w:t>
      </w:r>
      <w:r>
        <w:rPr>
          <w:rFonts w:hint="eastAsia" w:ascii="仿宋_GB2312" w:hAnsi="仿宋_GB2312" w:eastAsia="仿宋_GB2312" w:cs="仿宋_GB2312"/>
          <w:color w:val="auto"/>
          <w:sz w:val="32"/>
          <w:szCs w:val="32"/>
        </w:rPr>
        <w:t>公开工作纳入重要议事日程、纳入党风廉政建设和依法行政工作中，</w:t>
      </w:r>
      <w:r>
        <w:rPr>
          <w:rFonts w:hint="eastAsia" w:ascii="仿宋_GB2312" w:hAnsi="仿宋_GB2312" w:eastAsia="仿宋_GB2312" w:cs="仿宋_GB2312"/>
          <w:color w:val="auto"/>
          <w:sz w:val="32"/>
          <w:szCs w:val="32"/>
          <w:lang w:eastAsia="zh-CN"/>
        </w:rPr>
        <w:t>成立了由街道办事处主任为组长的政务公开工作领导小组，</w:t>
      </w:r>
      <w:r>
        <w:rPr>
          <w:rFonts w:hint="eastAsia" w:ascii="仿宋_GB2312" w:hAnsi="仿宋_GB2312" w:eastAsia="仿宋_GB2312" w:cs="仿宋_GB2312"/>
          <w:i w:val="0"/>
          <w:caps w:val="0"/>
          <w:color w:val="auto"/>
          <w:spacing w:val="0"/>
          <w:sz w:val="32"/>
          <w:szCs w:val="32"/>
          <w:shd w:val="clear" w:fill="FFFFFF"/>
        </w:rPr>
        <w:t>负责推进、指导、协调、监督政府信息公开工作。</w:t>
      </w:r>
      <w:r>
        <w:rPr>
          <w:rFonts w:hint="eastAsia" w:ascii="仿宋_GB2312" w:hAnsi="仿宋_GB2312" w:eastAsia="仿宋_GB2312" w:cs="仿宋_GB2312"/>
          <w:color w:val="000000"/>
          <w:sz w:val="32"/>
          <w:szCs w:val="32"/>
        </w:rPr>
        <w:t>坚持把政务公开工作纳入重要议事日程、纳入党风廉政建设和依法行政工作之中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足额</w:t>
      </w:r>
      <w:r>
        <w:rPr>
          <w:rFonts w:hint="eastAsia" w:ascii="仿宋_GB2312" w:hAnsi="仿宋_GB2312" w:eastAsia="仿宋_GB2312" w:cs="仿宋_GB2312"/>
          <w:i w:val="0"/>
          <w:caps w:val="0"/>
          <w:color w:val="auto"/>
          <w:spacing w:val="0"/>
          <w:sz w:val="32"/>
          <w:szCs w:val="32"/>
          <w:shd w:val="clear" w:fill="FFFFFF"/>
        </w:rPr>
        <w:t>保障政府信息</w:t>
      </w:r>
      <w:r>
        <w:rPr>
          <w:rFonts w:hint="eastAsia" w:ascii="仿宋_GB2312" w:hAnsi="仿宋_GB2312" w:eastAsia="仿宋_GB2312" w:cs="仿宋_GB2312"/>
          <w:i w:val="0"/>
          <w:caps w:val="0"/>
          <w:color w:val="auto"/>
          <w:spacing w:val="0"/>
          <w:sz w:val="32"/>
          <w:szCs w:val="32"/>
          <w:shd w:val="clear" w:fill="FFFFFF"/>
          <w:lang w:eastAsia="zh-CN"/>
        </w:rPr>
        <w:t>公开工作经费；</w:t>
      </w:r>
      <w:r>
        <w:rPr>
          <w:rFonts w:hint="eastAsia" w:ascii="仿宋_GB2312" w:hAnsi="仿宋_GB2312" w:eastAsia="仿宋_GB2312" w:cs="仿宋_GB2312"/>
          <w:color w:val="auto"/>
          <w:sz w:val="32"/>
          <w:szCs w:val="32"/>
          <w:lang w:eastAsia="zh-CN"/>
        </w:rPr>
        <w:t>制定了云溪街道政府信息公开制度，明确了公开内容、形式和公开、受理、回复的反馈机制。</w:t>
      </w:r>
      <w:r>
        <w:rPr>
          <w:rFonts w:hint="eastAsia" w:ascii="仿宋_GB2312" w:hAnsi="仿宋_GB2312" w:eastAsia="仿宋_GB2312" w:cs="仿宋_GB2312"/>
          <w:i w:val="0"/>
          <w:caps w:val="0"/>
          <w:color w:val="auto"/>
          <w:spacing w:val="0"/>
          <w:sz w:val="32"/>
          <w:szCs w:val="32"/>
          <w:shd w:val="clear" w:fill="FFFFFF"/>
        </w:rPr>
        <w:t>把政务公开工作纳入年度工作目标，拟定并落实各项目标管理责任制</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pPr>
      <w:bookmarkStart w:id="0" w:name="_GoBack"/>
      <w:bookmarkEnd w:id="0"/>
      <w:r>
        <w:rPr>
          <w:rFonts w:hint="eastAsia" w:ascii="仿宋_GB2312" w:hAnsi="仿宋_GB2312" w:eastAsia="仿宋_GB2312" w:cs="仿宋_GB2312"/>
          <w:b/>
          <w:bCs w:val="0"/>
          <w:i w:val="0"/>
          <w:caps w:val="0"/>
          <w:color w:val="auto"/>
          <w:spacing w:val="0"/>
          <w:sz w:val="32"/>
          <w:szCs w:val="32"/>
          <w:lang w:val="en-US" w:eastAsia="zh-CN"/>
        </w:rPr>
        <w:t>2.</w:t>
      </w:r>
      <w:r>
        <w:rPr>
          <w:rFonts w:hint="eastAsia" w:ascii="仿宋_GB2312" w:hAnsi="仿宋_GB2312" w:eastAsia="仿宋_GB2312" w:cs="仿宋_GB2312"/>
          <w:b/>
          <w:bCs w:val="0"/>
          <w:i w:val="0"/>
          <w:caps w:val="0"/>
          <w:color w:val="auto"/>
          <w:spacing w:val="0"/>
          <w:sz w:val="32"/>
          <w:szCs w:val="32"/>
        </w:rPr>
        <w:t>强化服务</w:t>
      </w:r>
      <w:r>
        <w:rPr>
          <w:rFonts w:hint="eastAsia" w:ascii="仿宋_GB2312" w:hAnsi="仿宋_GB2312" w:eastAsia="仿宋_GB2312" w:cs="仿宋_GB2312"/>
          <w:b/>
          <w:bCs w:val="0"/>
          <w:i w:val="0"/>
          <w:caps w:val="0"/>
          <w:color w:val="auto"/>
          <w:spacing w:val="0"/>
          <w:sz w:val="32"/>
          <w:szCs w:val="32"/>
          <w:lang w:eastAsia="zh-CN"/>
        </w:rPr>
        <w:t>能力，</w:t>
      </w:r>
      <w:r>
        <w:rPr>
          <w:rFonts w:hint="eastAsia" w:ascii="仿宋_GB2312" w:hAnsi="仿宋_GB2312" w:eastAsia="仿宋_GB2312" w:cs="仿宋_GB2312"/>
          <w:b/>
          <w:bCs w:val="0"/>
          <w:sz w:val="32"/>
          <w:szCs w:val="32"/>
        </w:rPr>
        <w:t>规范工作方法。</w:t>
      </w:r>
      <w:r>
        <w:rPr>
          <w:rFonts w:hint="eastAsia" w:ascii="仿宋_GB2312" w:hAnsi="仿宋_GB2312" w:eastAsia="仿宋_GB2312" w:cs="仿宋_GB2312"/>
          <w:sz w:val="32"/>
          <w:szCs w:val="32"/>
        </w:rPr>
        <w:t>及时对政府信息公开工作进行自查和总结，针对工作薄弱环节采取有效措施进行整改和加强，提高政府信息公开质量。</w:t>
      </w:r>
      <w:r>
        <w:rPr>
          <w:rFonts w:hint="eastAsia" w:ascii="仿宋_GB2312" w:hAnsi="仿宋_GB2312" w:eastAsia="仿宋_GB2312" w:cs="仿宋_GB2312"/>
          <w:color w:val="auto"/>
          <w:sz w:val="32"/>
          <w:szCs w:val="32"/>
        </w:rPr>
        <w:t>坚持把群众最关心、最需</w:t>
      </w:r>
      <w:r>
        <w:rPr>
          <w:rFonts w:hint="eastAsia" w:ascii="仿宋_GB2312" w:hAnsi="仿宋_GB2312" w:eastAsia="仿宋_GB2312" w:cs="仿宋_GB2312"/>
          <w:color w:val="auto"/>
          <w:sz w:val="32"/>
          <w:szCs w:val="32"/>
          <w:lang w:eastAsia="zh-CN"/>
        </w:rPr>
        <w:t>求</w:t>
      </w:r>
      <w:r>
        <w:rPr>
          <w:rFonts w:hint="eastAsia" w:ascii="仿宋_GB2312" w:hAnsi="仿宋_GB2312" w:eastAsia="仿宋_GB2312" w:cs="仿宋_GB2312"/>
          <w:color w:val="auto"/>
          <w:sz w:val="32"/>
          <w:szCs w:val="32"/>
        </w:rPr>
        <w:t>的事项作为公开的重点，主动做到公开内容及时、栏目归类准确、公开形式规范。</w:t>
      </w:r>
      <w:r>
        <w:rPr>
          <w:rFonts w:hint="eastAsia" w:ascii="仿宋_GB2312" w:hAnsi="仿宋_GB2312" w:eastAsia="仿宋_GB2312" w:cs="仿宋_GB2312"/>
          <w:i w:val="0"/>
          <w:caps w:val="0"/>
          <w:color w:val="auto"/>
          <w:spacing w:val="0"/>
          <w:sz w:val="32"/>
          <w:szCs w:val="32"/>
          <w:shd w:val="clear" w:fill="FFFFFF"/>
        </w:rPr>
        <w:t>做好对办事群众咨询的回复、解答及引导服务工作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充分利用政务微博、微信灵活便捷的优势，做好信息权威发布、政策解读和办事服务工作，</w:t>
      </w:r>
      <w:r>
        <w:rPr>
          <w:rFonts w:hint="eastAsia" w:ascii="仿宋_GB2312" w:hAnsi="仿宋_GB2312" w:eastAsia="仿宋_GB2312" w:cs="仿宋_GB2312"/>
          <w:color w:val="auto"/>
          <w:sz w:val="32"/>
          <w:szCs w:val="32"/>
        </w:rPr>
        <w:t>进一步增强公开实效，提升服务水平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2024年，2024年</w:t>
      </w:r>
      <w:r>
        <w:rPr>
          <w:rFonts w:hint="eastAsia" w:ascii="仿宋_GB2312" w:hAnsi="仿宋_GB2312" w:eastAsia="仿宋_GB2312" w:cs="仿宋_GB2312"/>
          <w:color w:val="auto"/>
          <w:sz w:val="32"/>
          <w:szCs w:val="32"/>
          <w:lang w:eastAsia="zh-CN"/>
        </w:rPr>
        <w:t>妥善处理网络舆情</w:t>
      </w:r>
      <w:r>
        <w:rPr>
          <w:rFonts w:hint="eastAsia" w:ascii="仿宋_GB2312" w:hAnsi="仿宋_GB2312" w:eastAsia="仿宋_GB2312" w:cs="仿宋_GB2312"/>
          <w:color w:val="auto"/>
          <w:sz w:val="32"/>
          <w:szCs w:val="32"/>
          <w:lang w:val="en-US" w:eastAsia="zh-CN"/>
        </w:rPr>
        <w:t>0件，网上信访39件，12345热线544个，市长信箱17件。在有效时限内进行办结，做到群众</w:t>
      </w:r>
      <w:r>
        <w:rPr>
          <w:rFonts w:hint="eastAsia" w:ascii="仿宋_GB2312" w:hAnsi="仿宋_GB2312" w:eastAsia="仿宋_GB2312" w:cs="仿宋_GB2312"/>
          <w:bCs/>
          <w:color w:val="000000" w:themeColor="text1"/>
          <w:spacing w:val="0"/>
          <w:sz w:val="32"/>
          <w:szCs w:val="32"/>
          <w:highlight w:val="none"/>
          <w:lang w:val="en-US" w:eastAsia="zh-CN"/>
          <w14:textFill>
            <w14:solidFill>
              <w14:schemeClr w14:val="tx1"/>
            </w14:solidFill>
          </w14:textFill>
        </w:rPr>
        <w:t>的咨询事事有回应，件件有着落。</w:t>
      </w:r>
    </w:p>
    <w:p>
      <w:pPr>
        <w:keepNext w:val="0"/>
        <w:keepLines w:val="0"/>
        <w:pageBreakBefore w:val="0"/>
        <w:widowControl/>
        <w:kinsoku/>
        <w:wordWrap/>
        <w:overflowPunct/>
        <w:topLinePunct w:val="0"/>
        <w:autoSpaceDE/>
        <w:autoSpaceDN/>
        <w:bidi w:val="0"/>
        <w:spacing w:line="600" w:lineRule="exact"/>
        <w:ind w:right="0" w:rightChars="0" w:firstLine="64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强化监督</w:t>
      </w:r>
      <w:r>
        <w:rPr>
          <w:rFonts w:hint="eastAsia" w:ascii="仿宋_GB2312" w:hAnsi="仿宋_GB2312" w:eastAsia="仿宋_GB2312" w:cs="仿宋_GB2312"/>
          <w:b/>
          <w:bCs/>
          <w:sz w:val="32"/>
          <w:szCs w:val="32"/>
          <w:lang w:eastAsia="zh-CN"/>
        </w:rPr>
        <w:t>把关</w:t>
      </w:r>
      <w:r>
        <w:rPr>
          <w:rFonts w:hint="eastAsia" w:ascii="仿宋_GB2312" w:hAnsi="仿宋_GB2312" w:eastAsia="仿宋_GB2312" w:cs="仿宋_GB2312"/>
          <w:b/>
          <w:bCs/>
          <w:sz w:val="32"/>
          <w:szCs w:val="32"/>
        </w:rPr>
        <w:t>，</w:t>
      </w:r>
      <w:r>
        <w:rPr>
          <w:rFonts w:hint="eastAsia" w:ascii="楷体_GB2312" w:hAnsi="楷体_GB2312" w:eastAsia="楷体_GB2312" w:cs="楷体_GB2312"/>
          <w:b/>
          <w:color w:val="000000"/>
          <w:sz w:val="32"/>
          <w:szCs w:val="32"/>
        </w:rPr>
        <w:t>提高工作质量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sz w:val="32"/>
          <w:szCs w:val="32"/>
        </w:rPr>
        <w:t>严格审批程序，以公开为常态、不公开是例外为原则，确保政府信息公开工作质量。按照“谁公开谁审查、谁审查谁负责、先审查后公开”的原则，在信息收集、整理、发布、审核等过程中严格把关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积极探索信息公开新形式、新渠道。</w:t>
      </w:r>
      <w:r>
        <w:rPr>
          <w:rFonts w:hint="eastAsia" w:ascii="仿宋_GB2312" w:hAnsi="仿宋_GB2312" w:eastAsia="仿宋_GB2312" w:cs="仿宋_GB2312"/>
          <w:sz w:val="32"/>
          <w:szCs w:val="32"/>
        </w:rPr>
        <w:t>在狠抓内部制约机制的同时，</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抓好外部监督制约机制的完善。将政务公开工作与党风廉政建设、</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风建设综合进行检查、考评</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color w:val="auto"/>
          <w:sz w:val="32"/>
          <w:szCs w:val="32"/>
          <w:lang w:eastAsia="zh-CN"/>
        </w:rPr>
        <w:t>政府信息公开工作落细落地。</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600" w:lineRule="exact"/>
        <w:ind w:right="0" w:firstLine="640" w:firstLineChars="200"/>
        <w:jc w:val="both"/>
        <w:textAlignment w:val="auto"/>
        <w:rPr>
          <w:rFonts w:hint="eastAsia" w:ascii="黑体" w:hAnsi="黑体" w:eastAsia="黑体" w:cs="黑体"/>
          <w:b w:val="0"/>
          <w:bCs/>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600" w:lineRule="exact"/>
        <w:ind w:right="0" w:firstLine="640"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二、主动公开政府信息情况</w:t>
      </w:r>
    </w:p>
    <w:tbl>
      <w:tblPr>
        <w:tblStyle w:val="3"/>
        <w:tblW w:w="8970" w:type="dxa"/>
        <w:jc w:val="center"/>
        <w:shd w:val="clear" w:color="auto" w:fill="auto"/>
        <w:tblLayout w:type="autofit"/>
        <w:tblCellMar>
          <w:top w:w="15" w:type="dxa"/>
          <w:left w:w="15" w:type="dxa"/>
          <w:bottom w:w="15" w:type="dxa"/>
          <w:right w:w="15" w:type="dxa"/>
        </w:tblCellMar>
      </w:tblPr>
      <w:tblGrid>
        <w:gridCol w:w="3673"/>
        <w:gridCol w:w="1875"/>
        <w:gridCol w:w="6"/>
        <w:gridCol w:w="1265"/>
        <w:gridCol w:w="2151"/>
      </w:tblGrid>
      <w:tr>
        <w:trPr>
          <w:trHeight w:val="495" w:hRule="atLeast"/>
          <w:jc w:val="center"/>
        </w:trPr>
        <w:tc>
          <w:tcPr>
            <w:tcW w:w="8970" w:type="dxa"/>
            <w:gridSpan w:val="5"/>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本年新</w:t>
            </w:r>
            <w:r>
              <w:rPr>
                <w:rFonts w:hint="eastAsia" w:ascii="宋体" w:hAnsi="宋体" w:eastAsia="宋体" w:cs="宋体"/>
                <w:color w:val="000000"/>
                <w:kern w:val="0"/>
                <w:sz w:val="20"/>
                <w:szCs w:val="20"/>
                <w:highlight w:val="none"/>
                <w:shd w:val="clear" w:color="auto" w:fill="auto"/>
                <w:lang w:val="en-US" w:eastAsia="zh-CN" w:bidi="ar"/>
              </w:rPr>
              <w:br w:type="textWrapping"/>
            </w:r>
            <w:r>
              <w:rPr>
                <w:rFonts w:asciiTheme="minorHAnsi" w:hAnsiTheme="minorHAnsi" w:eastAsiaTheme="minorEastAsia" w:cstheme="minorBidi"/>
                <w:color w:val="000000"/>
                <w:kern w:val="0"/>
                <w:sz w:val="20"/>
                <w:szCs w:val="20"/>
                <w:highlight w:val="none"/>
                <w:shd w:val="clear" w:color="auto" w:fill="auto"/>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本年新</w:t>
            </w:r>
            <w:r>
              <w:rPr>
                <w:rFonts w:hint="eastAsia" w:ascii="宋体" w:hAnsi="宋体" w:eastAsia="宋体" w:cs="宋体"/>
                <w:color w:val="000000"/>
                <w:kern w:val="0"/>
                <w:sz w:val="20"/>
                <w:szCs w:val="20"/>
                <w:highlight w:val="none"/>
                <w:shd w:val="clear" w:color="auto" w:fill="auto"/>
                <w:lang w:val="en-US" w:eastAsia="zh-CN" w:bidi="ar"/>
              </w:rPr>
              <w:br w:type="textWrapping"/>
            </w:r>
            <w:r>
              <w:rPr>
                <w:rFonts w:asciiTheme="minorHAnsi" w:hAnsiTheme="minorHAnsi" w:eastAsiaTheme="minorEastAsia" w:cstheme="minorBidi"/>
                <w:color w:val="000000"/>
                <w:kern w:val="0"/>
                <w:sz w:val="20"/>
                <w:szCs w:val="20"/>
                <w:highlight w:val="none"/>
                <w:shd w:val="clear" w:color="auto" w:fill="auto"/>
                <w:lang w:val="en-US" w:eastAsia="zh-CN" w:bidi="ar"/>
              </w:rPr>
              <w:t>公开数量</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对外公开总数量</w:t>
            </w:r>
          </w:p>
        </w:tc>
      </w:tr>
      <w:tr>
        <w:tblPrEx>
          <w:tblCellMar>
            <w:top w:w="15" w:type="dxa"/>
            <w:left w:w="15" w:type="dxa"/>
            <w:bottom w:w="15" w:type="dxa"/>
            <w:right w:w="15" w:type="dxa"/>
          </w:tblCellMar>
        </w:tblPrEx>
        <w:trPr>
          <w:trHeight w:val="523"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3</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3</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3</w:t>
            </w:r>
          </w:p>
        </w:tc>
      </w:tr>
      <w:tr>
        <w:tblPrEx>
          <w:shd w:val="clear" w:color="auto" w:fill="auto"/>
          <w:tblCellMar>
            <w:top w:w="15" w:type="dxa"/>
            <w:left w:w="15" w:type="dxa"/>
            <w:bottom w:w="15" w:type="dxa"/>
            <w:right w:w="15" w:type="dxa"/>
          </w:tblCellMar>
        </w:tblPrEx>
        <w:trPr>
          <w:trHeight w:val="471"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r>
      <w:tr>
        <w:tblPrEx>
          <w:tblCellMar>
            <w:top w:w="15" w:type="dxa"/>
            <w:left w:w="15" w:type="dxa"/>
            <w:bottom w:w="15" w:type="dxa"/>
            <w:right w:w="15" w:type="dxa"/>
          </w:tblCellMar>
        </w:tblPrEx>
        <w:trPr>
          <w:trHeight w:val="480" w:hRule="atLeast"/>
          <w:jc w:val="center"/>
        </w:trPr>
        <w:tc>
          <w:tcPr>
            <w:tcW w:w="8970"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第二十条第（五）项</w:t>
            </w:r>
          </w:p>
        </w:tc>
      </w:tr>
      <w:tr>
        <w:tblPrEx>
          <w:shd w:val="clear" w:color="auto" w:fill="auto"/>
          <w:tblCellMar>
            <w:top w:w="15" w:type="dxa"/>
            <w:left w:w="15" w:type="dxa"/>
            <w:bottom w:w="15" w:type="dxa"/>
            <w:right w:w="15" w:type="dxa"/>
          </w:tblCellMar>
        </w:tblPrEx>
        <w:trPr>
          <w:trHeight w:val="634"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本年增/减</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处理决定数量</w:t>
            </w:r>
          </w:p>
        </w:tc>
      </w:tr>
      <w:tr>
        <w:tblPrEx>
          <w:tblCellMar>
            <w:top w:w="15" w:type="dxa"/>
            <w:left w:w="15" w:type="dxa"/>
            <w:bottom w:w="15" w:type="dxa"/>
            <w:right w:w="15" w:type="dxa"/>
          </w:tblCellMar>
        </w:tblPrEx>
        <w:trPr>
          <w:trHeight w:val="612"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146</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15</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131</w:t>
            </w:r>
          </w:p>
        </w:tc>
      </w:tr>
      <w:tr>
        <w:tblPrEx>
          <w:tblCellMar>
            <w:top w:w="15" w:type="dxa"/>
            <w:left w:w="15" w:type="dxa"/>
            <w:bottom w:w="15" w:type="dxa"/>
            <w:right w:w="15" w:type="dxa"/>
          </w:tblCellMar>
        </w:tblPrEx>
        <w:trPr>
          <w:trHeight w:val="550"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r>
      <w:tr>
        <w:tblPrEx>
          <w:tblCellMar>
            <w:top w:w="15" w:type="dxa"/>
            <w:left w:w="15" w:type="dxa"/>
            <w:bottom w:w="15" w:type="dxa"/>
            <w:right w:w="15" w:type="dxa"/>
          </w:tblCellMar>
        </w:tblPrEx>
        <w:trPr>
          <w:trHeight w:val="406" w:hRule="atLeast"/>
          <w:jc w:val="center"/>
        </w:trPr>
        <w:tc>
          <w:tcPr>
            <w:tcW w:w="8970"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第二十条第（六）项</w:t>
            </w:r>
          </w:p>
        </w:tc>
      </w:tr>
      <w:tr>
        <w:tblPrEx>
          <w:shd w:val="clear" w:color="auto" w:fill="auto"/>
          <w:tblCellMar>
            <w:top w:w="15" w:type="dxa"/>
            <w:left w:w="15" w:type="dxa"/>
            <w:bottom w:w="15" w:type="dxa"/>
            <w:right w:w="15" w:type="dxa"/>
          </w:tblCellMar>
        </w:tblPrEx>
        <w:trPr>
          <w:trHeight w:val="634"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本年增/减</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处理决定数量</w:t>
            </w:r>
          </w:p>
        </w:tc>
      </w:tr>
      <w:tr>
        <w:tblPrEx>
          <w:tblCellMar>
            <w:top w:w="15" w:type="dxa"/>
            <w:left w:w="15" w:type="dxa"/>
            <w:bottom w:w="15" w:type="dxa"/>
            <w:right w:w="15" w:type="dxa"/>
          </w:tblCellMar>
        </w:tblPrEx>
        <w:trPr>
          <w:trHeight w:val="430"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r>
      <w:tr>
        <w:tblPrEx>
          <w:tblCellMar>
            <w:top w:w="15" w:type="dxa"/>
            <w:left w:w="15" w:type="dxa"/>
            <w:bottom w:w="15" w:type="dxa"/>
            <w:right w:w="15" w:type="dxa"/>
          </w:tblCellMar>
        </w:tblPrEx>
        <w:trPr>
          <w:trHeight w:val="387"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21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r>
      <w:tr>
        <w:tblPrEx>
          <w:tblCellMar>
            <w:top w:w="15" w:type="dxa"/>
            <w:left w:w="15" w:type="dxa"/>
            <w:bottom w:w="15" w:type="dxa"/>
            <w:right w:w="15" w:type="dxa"/>
          </w:tblCellMar>
        </w:tblPrEx>
        <w:trPr>
          <w:trHeight w:val="474" w:hRule="atLeast"/>
          <w:jc w:val="center"/>
        </w:trPr>
        <w:tc>
          <w:tcPr>
            <w:tcW w:w="8970"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第二十条第（八）项</w:t>
            </w:r>
          </w:p>
        </w:tc>
      </w:tr>
      <w:tr>
        <w:tblPrEx>
          <w:shd w:val="clear" w:color="auto" w:fill="auto"/>
          <w:tblCellMar>
            <w:top w:w="15" w:type="dxa"/>
            <w:left w:w="15" w:type="dxa"/>
            <w:bottom w:w="15" w:type="dxa"/>
            <w:right w:w="15" w:type="dxa"/>
          </w:tblCellMar>
        </w:tblPrEx>
        <w:trPr>
          <w:trHeight w:val="270"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上一年项目数量</w:t>
            </w:r>
          </w:p>
        </w:tc>
        <w:tc>
          <w:tcPr>
            <w:tcW w:w="3416"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本年增/减</w:t>
            </w:r>
          </w:p>
        </w:tc>
      </w:tr>
      <w:tr>
        <w:tblPrEx>
          <w:shd w:val="clear" w:color="auto" w:fill="auto"/>
          <w:tblCellMar>
            <w:top w:w="15" w:type="dxa"/>
            <w:left w:w="15" w:type="dxa"/>
            <w:bottom w:w="15" w:type="dxa"/>
            <w:right w:w="15" w:type="dxa"/>
          </w:tblCellMar>
        </w:tblPrEx>
        <w:trPr>
          <w:trHeight w:val="551"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3416"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r>
      <w:tr>
        <w:tblPrEx>
          <w:tblCellMar>
            <w:top w:w="15" w:type="dxa"/>
            <w:left w:w="15" w:type="dxa"/>
            <w:bottom w:w="15" w:type="dxa"/>
            <w:right w:w="15" w:type="dxa"/>
          </w:tblCellMar>
        </w:tblPrEx>
        <w:trPr>
          <w:trHeight w:val="476" w:hRule="atLeast"/>
          <w:jc w:val="center"/>
        </w:trPr>
        <w:tc>
          <w:tcPr>
            <w:tcW w:w="8970" w:type="dxa"/>
            <w:gridSpan w:val="5"/>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第二十条第（九）项</w:t>
            </w:r>
          </w:p>
        </w:tc>
      </w:tr>
      <w:tr>
        <w:tblPrEx>
          <w:tblCellMar>
            <w:top w:w="15" w:type="dxa"/>
            <w:left w:w="15" w:type="dxa"/>
            <w:bottom w:w="15" w:type="dxa"/>
            <w:right w:w="15" w:type="dxa"/>
          </w:tblCellMar>
        </w:tblPrEx>
        <w:trPr>
          <w:trHeight w:val="585"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采购项目数量</w:t>
            </w:r>
          </w:p>
        </w:tc>
        <w:tc>
          <w:tcPr>
            <w:tcW w:w="3416"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采购总金额</w:t>
            </w:r>
          </w:p>
        </w:tc>
      </w:tr>
      <w:tr>
        <w:tblPrEx>
          <w:tblCellMar>
            <w:top w:w="15" w:type="dxa"/>
            <w:left w:w="15" w:type="dxa"/>
            <w:bottom w:w="15" w:type="dxa"/>
            <w:right w:w="15" w:type="dxa"/>
          </w:tblCellMar>
        </w:tblPrEx>
        <w:trPr>
          <w:trHeight w:val="539" w:hRule="atLeast"/>
          <w:jc w:val="center"/>
        </w:trPr>
        <w:tc>
          <w:tcPr>
            <w:tcW w:w="367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highlight w:val="none"/>
                <w:shd w:val="clear" w:color="auto" w:fill="auto"/>
              </w:rPr>
            </w:pPr>
            <w:r>
              <w:rPr>
                <w:rFonts w:hint="eastAsia" w:ascii="宋体" w:hAnsi="宋体" w:eastAsia="宋体" w:cs="宋体"/>
                <w:color w:val="000000"/>
                <w:kern w:val="0"/>
                <w:sz w:val="20"/>
                <w:szCs w:val="20"/>
                <w:highlight w:val="none"/>
                <w:shd w:val="clear" w:color="auto" w:fill="auto"/>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highlight w:val="none"/>
                <w:shd w:val="clear" w:color="auto" w:fill="auto"/>
                <w:lang w:val="en-US" w:eastAsia="zh-CN"/>
              </w:rPr>
            </w:pPr>
            <w:r>
              <w:rPr>
                <w:rFonts w:hint="eastAsia" w:ascii="仿宋_GB2312" w:hAnsi="仿宋_GB2312" w:eastAsia="仿宋_GB2312" w:cs="仿宋_GB2312"/>
                <w:color w:val="000000"/>
                <w:highlight w:val="none"/>
                <w:shd w:val="clear" w:color="auto" w:fill="auto"/>
                <w:lang w:val="en-US" w:eastAsia="zh-CN"/>
              </w:rPr>
              <w:t>0</w:t>
            </w:r>
          </w:p>
        </w:tc>
        <w:tc>
          <w:tcPr>
            <w:tcW w:w="3416"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24"/>
                <w:szCs w:val="24"/>
                <w:highlight w:val="none"/>
                <w:shd w:val="clear" w:color="auto" w:fill="auto"/>
                <w:lang w:val="en-US" w:eastAsia="zh-CN"/>
              </w:rPr>
            </w:pPr>
            <w:r>
              <w:rPr>
                <w:rFonts w:hint="eastAsia" w:ascii="仿宋_GB2312" w:hAnsi="仿宋_GB2312" w:eastAsia="仿宋_GB2312" w:cs="仿宋_GB2312"/>
                <w:color w:val="000000"/>
                <w:sz w:val="24"/>
                <w:szCs w:val="24"/>
                <w:highlight w:val="none"/>
                <w:shd w:val="clear" w:color="auto" w:fill="auto"/>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600" w:lineRule="exact"/>
        <w:ind w:right="0" w:firstLine="640"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三、收到和处理政府信息公开申请情况</w:t>
      </w:r>
    </w:p>
    <w:tbl>
      <w:tblPr>
        <w:tblStyle w:val="3"/>
        <w:tblW w:w="93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3"/>
        <w:gridCol w:w="854"/>
        <w:gridCol w:w="1953"/>
        <w:gridCol w:w="946"/>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73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（本列数据的勾稽关系为：第一项加第二项之和，等于第三项加第四项之和）</w:t>
            </w:r>
          </w:p>
        </w:tc>
        <w:tc>
          <w:tcPr>
            <w:tcW w:w="5648"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73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94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73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94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7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一、本年新收政府信息公开申请数量</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sz w:val="24"/>
                <w:szCs w:val="24"/>
                <w:shd w:val="clear" w:color="auto" w:fill="auto"/>
                <w:lang w:val="en-US"/>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sz w:val="24"/>
                <w:szCs w:val="24"/>
                <w:shd w:val="clear" w:color="auto" w:fill="auto"/>
                <w:lang w:val="en-US"/>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4"/>
                <w:szCs w:val="24"/>
                <w:shd w:val="clear" w:color="auto" w:fill="auto"/>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sz w:val="24"/>
                <w:szCs w:val="24"/>
                <w:shd w:val="clear" w:color="auto" w:fill="auto"/>
                <w:lang w:val="en-US"/>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7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二、上年结转政府信息公开申请数量</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三、本年度办理结果</w:t>
            </w:r>
          </w:p>
        </w:tc>
        <w:tc>
          <w:tcPr>
            <w:tcW w:w="280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ascii="楷体" w:hAnsi="楷体" w:eastAsia="楷体" w:cs="楷体"/>
                <w:color w:val="000000"/>
                <w:kern w:val="0"/>
                <w:sz w:val="20"/>
                <w:szCs w:val="20"/>
                <w:shd w:val="clear" w:color="auto" w:fill="auto"/>
                <w:lang w:val="en-US" w:eastAsia="zh-CN" w:bidi="ar"/>
              </w:rPr>
              <w:t>（一）予以公开</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280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（二）部分公开（区分处理的，只计这一情形，不计其他情形）</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（三）不予公开</w:t>
            </w: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1.属于国家秘密</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2.其他法律行政法规禁止公开</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3.危及“三安全一稳定”</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4.保护第三方合法权益</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5.属于三类内部事务信息</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6.属于四类过程性信息</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7.属于行政执法案卷</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8.属于行政查询事项</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（四）无法提供</w:t>
            </w: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1.本机关不掌握相关政府信息</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2.没有现成信息需要另行制作</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3.补正后申请内容仍不明确</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（五）不予处理</w:t>
            </w: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1.信访举报投诉类申请</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2.重复申请</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3.要求提供公开出版物</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4.无正当理由大量反复申请</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19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5.要求行政机关确认或重新出具已获取信息</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280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（六）其他处理</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2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sz w:val="24"/>
                <w:szCs w:val="24"/>
                <w:shd w:val="clear" w:color="auto" w:fill="auto"/>
              </w:rPr>
            </w:pPr>
          </w:p>
        </w:tc>
        <w:tc>
          <w:tcPr>
            <w:tcW w:w="280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000000"/>
                <w:shd w:val="clear" w:color="auto" w:fill="auto"/>
              </w:rPr>
            </w:pPr>
            <w:r>
              <w:rPr>
                <w:rFonts w:hint="default" w:ascii="楷体" w:hAnsi="楷体" w:eastAsia="楷体" w:cs="楷体"/>
                <w:color w:val="000000"/>
                <w:kern w:val="0"/>
                <w:sz w:val="20"/>
                <w:szCs w:val="20"/>
                <w:shd w:val="clear" w:color="auto" w:fill="auto"/>
                <w:lang w:val="en-US" w:eastAsia="zh-CN" w:bidi="ar"/>
              </w:rPr>
              <w:t>（七）总计</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73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四、结转下年度继续办理</w:t>
            </w:r>
          </w:p>
        </w:tc>
        <w:tc>
          <w:tcPr>
            <w:tcW w:w="9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sz w:val="24"/>
                <w:szCs w:val="24"/>
                <w:shd w:val="clear" w:color="auto" w:fill="auto"/>
                <w:lang w:val="en-US" w:eastAsia="zh-CN"/>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0"/>
                <w:sz w:val="24"/>
                <w:szCs w:val="24"/>
                <w:shd w:val="clear" w:color="auto" w:fill="auto"/>
                <w:lang w:val="en-US" w:eastAsia="zh-CN" w:bidi="ar"/>
              </w:rPr>
              <w:t>0 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000000"/>
          <w:spacing w:val="0"/>
          <w:sz w:val="32"/>
          <w:szCs w:val="32"/>
          <w:shd w:val="clear" w:color="auto" w:fill="auto"/>
        </w:rPr>
      </w:pPr>
      <w:r>
        <w:rPr>
          <w:rFonts w:hint="eastAsia" w:ascii="黑体" w:hAnsi="黑体" w:eastAsia="黑体" w:cs="黑体"/>
          <w:b w:val="0"/>
          <w:bCs/>
          <w:i w:val="0"/>
          <w:caps w:val="0"/>
          <w:color w:val="000000"/>
          <w:spacing w:val="0"/>
          <w:sz w:val="32"/>
          <w:szCs w:val="32"/>
          <w:shd w:val="clear" w:color="auto" w:fill="auto"/>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color w:val="000000"/>
                <w:sz w:val="24"/>
                <w:szCs w:val="24"/>
                <w:shd w:val="clear" w:color="auto" w:fill="auto"/>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000000"/>
                <w:shd w:val="clear" w:color="auto" w:fill="auto"/>
              </w:rPr>
            </w:pPr>
            <w:r>
              <w:rPr>
                <w:rFonts w:hint="eastAsia" w:ascii="宋体" w:hAnsi="宋体" w:eastAsia="宋体" w:cs="宋体"/>
                <w:color w:val="000000"/>
                <w:kern w:val="0"/>
                <w:sz w:val="20"/>
                <w:szCs w:val="20"/>
                <w:shd w:val="clear" w:color="auto" w:fill="auto"/>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7"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eastAsiaTheme="minorEastAsia"/>
                <w:color w:val="000000"/>
                <w:shd w:val="clear" w:color="auto" w:fill="auto"/>
                <w:lang w:val="en-US" w:eastAsia="zh-CN"/>
              </w:rPr>
            </w:pPr>
            <w:r>
              <w:rPr>
                <w:rFonts w:hint="eastAsia"/>
                <w:color w:val="000000"/>
                <w:shd w:val="clear" w:color="auto" w:fill="auto"/>
                <w:lang w:val="en-US" w:eastAsia="zh-CN"/>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eastAsiaTheme="minorEastAsia"/>
                <w:color w:val="000000"/>
                <w:sz w:val="24"/>
                <w:szCs w:val="24"/>
                <w:shd w:val="clear" w:color="auto" w:fill="auto"/>
                <w:lang w:val="en-US" w:eastAsia="zh-CN"/>
              </w:rPr>
            </w:pPr>
            <w:r>
              <w:rPr>
                <w:rFonts w:hint="eastAsia" w:ascii="宋体"/>
                <w:color w:val="000000"/>
                <w:sz w:val="24"/>
                <w:szCs w:val="24"/>
                <w:shd w:val="clear" w:color="auto" w:fill="auto"/>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eastAsia="zh-CN"/>
        </w:rPr>
        <w:t>五、</w:t>
      </w:r>
      <w:r>
        <w:rPr>
          <w:rFonts w:hint="eastAsia" w:ascii="黑体" w:hAnsi="黑体" w:eastAsia="黑体" w:cs="黑体"/>
          <w:b w:val="0"/>
          <w:bCs/>
          <w:i w:val="0"/>
          <w:caps w:val="0"/>
          <w:color w:val="000000"/>
          <w:spacing w:val="0"/>
          <w:sz w:val="32"/>
          <w:szCs w:val="32"/>
        </w:rPr>
        <w:t>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年政府信息公开工作取得了一定成效，但对照上级的要求和公众的期望还存在一些不足的问题，一是对政府信息公开工作学习培训的深度和广度还不够，对政府信息公开的内容和要求不能准确把握。二是个别站办</w:t>
      </w:r>
      <w:r>
        <w:rPr>
          <w:rFonts w:hint="eastAsia" w:ascii="仿宋_GB2312" w:hAnsi="仿宋_GB2312" w:eastAsia="仿宋_GB2312" w:cs="仿宋_GB2312"/>
          <w:sz w:val="32"/>
          <w:szCs w:val="32"/>
          <w:lang w:eastAsia="zh-CN"/>
        </w:rPr>
        <w:t>中心室</w:t>
      </w:r>
      <w:r>
        <w:rPr>
          <w:rFonts w:hint="eastAsia" w:ascii="仿宋_GB2312" w:hAnsi="仿宋_GB2312" w:eastAsia="仿宋_GB2312" w:cs="仿宋_GB2312"/>
          <w:sz w:val="32"/>
          <w:szCs w:val="32"/>
        </w:rPr>
        <w:t>对政府信息公开工作缺乏认识，不够重视，主动沟通和配合工作不够到位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公开形式和载体还不够丰富。</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是公开的规范化还有待加强，过程信息公开少，正面信息多，负面信息公开少，被动接受信息多，贴合群众需求信息少</w:t>
      </w:r>
      <w:r>
        <w:rPr>
          <w:rFonts w:hint="eastAsia" w:ascii="仿宋_GB2312" w:hAnsi="仿宋_GB2312" w:eastAsia="仿宋_GB2312" w:cs="仿宋_GB2312"/>
          <w:sz w:val="32"/>
          <w:szCs w:val="32"/>
          <w:lang w:eastAsia="zh-CN"/>
        </w:rPr>
        <w:t>。下步我街道将</w:t>
      </w:r>
      <w:r>
        <w:rPr>
          <w:rFonts w:hint="eastAsia" w:ascii="仿宋_GB2312" w:hAnsi="仿宋_GB2312" w:eastAsia="仿宋_GB2312" w:cs="仿宋_GB2312"/>
          <w:sz w:val="32"/>
          <w:szCs w:val="32"/>
        </w:rPr>
        <w:t>主要采取以下三个方面加以改进。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进一步提升政务公开的层次。转变工作理念，打破一些固有的“壁垒”，纠正思想上的“被动应付”，坚持“公开为常态、不公开是例外”。加强依申请公开工作的业务培训，增强依申请公开的处置能力和水平。完善政府信息公开各项规章制度，形成以制度管人、以制度谋事的长效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不断丰富政府信息公开内容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群众关切关心的内容，扩大信息公开覆盖面和影响，严格信息筛选，强化政策解读，深化公开内容，让公众更好地知晓、理解政府经济社会发展政策和改革举措。积极探索政府信息公开的新途径，充分利用现有街道便民服务大厅、村（居）民服务中心等场所以及政务服务热线等增加群众对政府信息的知晓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i w:val="0"/>
          <w:caps w:val="0"/>
          <w:color w:val="000000"/>
          <w:spacing w:val="0"/>
          <w:sz w:val="28"/>
          <w:szCs w:val="28"/>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优化公开服务</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提高政府信息公开工作的质量和服务水平。更好地满足群众对信息公开及信息互动的需求，切实保障人民群众的知情权与监督权。积极探索多种监督评议方式，畅通群众来信、来访、来电诉求渠道，及时进行反馈回复。并根据依申请公开的方法、程序、审查和答复等要求，自觉接受社会各界的监督，确保公开信息的全面、准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eastAsia="zh-CN"/>
        </w:rPr>
        <w:t>六、其他需要报告的内容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sectPr>
      <w:pgSz w:w="11906" w:h="16838"/>
      <w:pgMar w:top="192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jExZGQ3NTBhNGNkMjAzM2YzNWRhYTZiOTg4NzgifQ=="/>
  </w:docVars>
  <w:rsids>
    <w:rsidRoot w:val="6B2D6012"/>
    <w:rsid w:val="00BD533A"/>
    <w:rsid w:val="01453059"/>
    <w:rsid w:val="03116545"/>
    <w:rsid w:val="045D2052"/>
    <w:rsid w:val="06FB37FA"/>
    <w:rsid w:val="0795303C"/>
    <w:rsid w:val="07983601"/>
    <w:rsid w:val="0A2F22EE"/>
    <w:rsid w:val="0A4800D1"/>
    <w:rsid w:val="0B1B45F9"/>
    <w:rsid w:val="120D5A20"/>
    <w:rsid w:val="12D70B7D"/>
    <w:rsid w:val="18083CB6"/>
    <w:rsid w:val="19042053"/>
    <w:rsid w:val="19AD11C0"/>
    <w:rsid w:val="1BCD14FE"/>
    <w:rsid w:val="1ECD46FA"/>
    <w:rsid w:val="20B56F00"/>
    <w:rsid w:val="20D6140B"/>
    <w:rsid w:val="214A5919"/>
    <w:rsid w:val="285818D6"/>
    <w:rsid w:val="29E92B3B"/>
    <w:rsid w:val="2EAE21E3"/>
    <w:rsid w:val="31237C74"/>
    <w:rsid w:val="33C638C5"/>
    <w:rsid w:val="38431D54"/>
    <w:rsid w:val="39E61FC9"/>
    <w:rsid w:val="39EF3F42"/>
    <w:rsid w:val="3A6233EA"/>
    <w:rsid w:val="3B4C591A"/>
    <w:rsid w:val="402911A7"/>
    <w:rsid w:val="405022EA"/>
    <w:rsid w:val="43446B86"/>
    <w:rsid w:val="46E94779"/>
    <w:rsid w:val="471F2C6D"/>
    <w:rsid w:val="475E36CC"/>
    <w:rsid w:val="4A705D66"/>
    <w:rsid w:val="4AF74944"/>
    <w:rsid w:val="51C92F34"/>
    <w:rsid w:val="52100AA2"/>
    <w:rsid w:val="5297798E"/>
    <w:rsid w:val="53103276"/>
    <w:rsid w:val="565E39B4"/>
    <w:rsid w:val="591A2F3B"/>
    <w:rsid w:val="59716390"/>
    <w:rsid w:val="5C3D6C42"/>
    <w:rsid w:val="5C94198B"/>
    <w:rsid w:val="5E323C61"/>
    <w:rsid w:val="604D164D"/>
    <w:rsid w:val="613C73CF"/>
    <w:rsid w:val="63AD6646"/>
    <w:rsid w:val="666621CC"/>
    <w:rsid w:val="66704538"/>
    <w:rsid w:val="66ED06B7"/>
    <w:rsid w:val="68DD2265"/>
    <w:rsid w:val="69DC4E21"/>
    <w:rsid w:val="69EA44A7"/>
    <w:rsid w:val="6A372747"/>
    <w:rsid w:val="6B2D6012"/>
    <w:rsid w:val="6F7016D6"/>
    <w:rsid w:val="70E95A5E"/>
    <w:rsid w:val="76F54AE5"/>
    <w:rsid w:val="77EC2262"/>
    <w:rsid w:val="78B825DE"/>
    <w:rsid w:val="7C702A40"/>
    <w:rsid w:val="7CEB48C0"/>
    <w:rsid w:val="7D203E5D"/>
    <w:rsid w:val="7FB5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2020-01-09T03:37:00Z</dcterms:created>
  <dc:creator>娜</dc:creator>
  <cp:lastModifiedBy>PM</cp:lastModifiedBy>
  <cp:lastPrinted>2021-02-01T03:03:00Z</cp:lastPrinted>
  <dcterms:modified xsi:type="dcterms:W3CDTF">2025-02-18T08:22:02Z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B2CB420FC6144236AE79488AA9DC9FB7_12</vt:lpwstr>
  </property>
</Properties>
</file>