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auto"/>
        <w:tabs>
          <w:tab w:val="left" w:pos="13734"/>
        </w:tabs>
        <w:kinsoku/>
        <w:wordWrap/>
        <w:overflowPunct/>
        <w:topLinePunct w:val="0"/>
        <w:autoSpaceDE/>
        <w:autoSpaceDN/>
        <w:bidi w:val="0"/>
        <w:spacing w:before="0" w:after="60" w:line="240" w:lineRule="auto"/>
        <w:ind w:right="0"/>
        <w:jc w:val="left"/>
        <w:rPr>
          <w:rFonts w:hint="default" w:ascii="宋体" w:hAnsi="宋体" w:eastAsia="宋体" w:cs="宋体"/>
          <w:b/>
          <w:bCs/>
          <w:color w:val="000000"/>
          <w:spacing w:val="-6"/>
          <w:w w:val="100"/>
          <w:kern w:val="2"/>
          <w:position w:val="0"/>
          <w:sz w:val="44"/>
          <w:szCs w:val="44"/>
          <w:u w:val="none"/>
          <w:shd w:val="clear" w:color="auto" w:fill="auto"/>
          <w:lang w:val="en-US" w:eastAsia="zh-CN" w:bidi="ar-SA"/>
        </w:rPr>
      </w:pPr>
      <w:bookmarkStart w:id="0" w:name="bookmark24"/>
      <w:bookmarkStart w:id="1" w:name="bookmark23"/>
      <w:bookmarkStart w:id="2" w:name="bookmark22"/>
      <w:r>
        <w:rPr>
          <w:rFonts w:hint="eastAsia" w:ascii="仿宋_GB2312" w:hAnsi="仿宋_GB2312" w:eastAsia="仿宋_GB2312" w:cs="仿宋_GB2312"/>
          <w:color w:val="000000"/>
          <w:spacing w:val="-6"/>
          <w:w w:val="100"/>
          <w:kern w:val="2"/>
          <w:position w:val="0"/>
          <w:sz w:val="32"/>
          <w:szCs w:val="32"/>
          <w:u w:val="none"/>
          <w:shd w:val="clear"/>
          <w:lang w:val="en-US" w:eastAsia="zh-CN" w:bidi="ar-SA"/>
        </w:rPr>
        <w:t>附件2</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宋体" w:hAnsi="宋体" w:eastAsia="宋体" w:cs="宋体"/>
          <w:b/>
          <w:bCs/>
          <w:color w:val="000000"/>
          <w:spacing w:val="-6"/>
          <w:w w:val="100"/>
          <w:kern w:val="2"/>
          <w:position w:val="0"/>
          <w:sz w:val="44"/>
          <w:szCs w:val="44"/>
          <w:u w:val="none"/>
          <w:shd w:val="clear" w:color="auto" w:fill="auto"/>
          <w:lang w:val="en-US" w:eastAsia="zh-CN" w:bidi="ar-SA"/>
        </w:rPr>
      </w:pPr>
      <w:r>
        <w:rPr>
          <w:rFonts w:hint="eastAsia" w:ascii="宋体" w:hAnsi="宋体" w:eastAsia="宋体" w:cs="宋体"/>
          <w:b/>
          <w:bCs/>
          <w:color w:val="000000"/>
          <w:spacing w:val="-6"/>
          <w:w w:val="100"/>
          <w:kern w:val="2"/>
          <w:position w:val="0"/>
          <w:sz w:val="44"/>
          <w:szCs w:val="44"/>
          <w:u w:val="none"/>
          <w:shd w:val="clear" w:color="auto" w:fill="auto"/>
          <w:lang w:val="en-US" w:eastAsia="zh-CN" w:bidi="ar-SA"/>
        </w:rPr>
        <w:t>基层医疗卫生机构实施基本药物制度绩效评价指标</w:t>
      </w:r>
    </w:p>
    <w:tbl>
      <w:tblPr>
        <w:tblStyle w:val="15"/>
        <w:tblpPr w:leftFromText="180" w:rightFromText="180" w:vertAnchor="text" w:horzAnchor="page" w:tblpX="1029" w:tblpY="412"/>
        <w:tblOverlap w:val="never"/>
        <w:tblW w:w="146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0"/>
        <w:gridCol w:w="6770"/>
        <w:gridCol w:w="4830"/>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650" w:type="dxa"/>
            <w:vAlign w:val="center"/>
          </w:tcPr>
          <w:p>
            <w:pPr>
              <w:pStyle w:val="14"/>
              <w:keepNext w:val="0"/>
              <w:keepLines w:val="0"/>
              <w:pageBreakBefore w:val="0"/>
              <w:widowControl w:val="0"/>
              <w:shd w:val="clear" w:color="auto" w:fill="auto"/>
              <w:kinsoku/>
              <w:wordWrap/>
              <w:overflowPunct/>
              <w:topLinePunct w:val="0"/>
              <w:autoSpaceDE/>
              <w:autoSpaceDN/>
              <w:bidi w:val="0"/>
              <w:spacing w:before="0" w:line="204" w:lineRule="auto"/>
              <w:ind w:left="0" w:right="0"/>
              <w:jc w:val="center"/>
              <w:rPr>
                <w:rFonts w:hint="eastAsia" w:ascii="仿宋_GB2312" w:hAnsi="仿宋_GB2312" w:eastAsia="仿宋_GB2312" w:cs="仿宋_GB2312"/>
                <w:b/>
                <w:bCs/>
                <w:spacing w:val="7"/>
                <w:sz w:val="30"/>
                <w:szCs w:val="30"/>
              </w:rPr>
            </w:pPr>
            <w:r>
              <w:rPr>
                <w:rFonts w:hint="eastAsia" w:ascii="仿宋_GB2312" w:hAnsi="仿宋_GB2312" w:eastAsia="仿宋_GB2312" w:cs="仿宋_GB2312"/>
                <w:b/>
                <w:bCs/>
                <w:spacing w:val="7"/>
                <w:sz w:val="30"/>
                <w:szCs w:val="30"/>
              </w:rPr>
              <w:t>评价项目</w:t>
            </w:r>
          </w:p>
        </w:tc>
        <w:tc>
          <w:tcPr>
            <w:tcW w:w="6770" w:type="dxa"/>
            <w:vAlign w:val="center"/>
          </w:tcPr>
          <w:p>
            <w:pPr>
              <w:pStyle w:val="14"/>
              <w:keepNext w:val="0"/>
              <w:keepLines w:val="0"/>
              <w:pageBreakBefore w:val="0"/>
              <w:widowControl w:val="0"/>
              <w:shd w:val="clear" w:color="auto" w:fill="auto"/>
              <w:kinsoku/>
              <w:wordWrap/>
              <w:overflowPunct/>
              <w:topLinePunct w:val="0"/>
              <w:autoSpaceDE/>
              <w:autoSpaceDN/>
              <w:bidi w:val="0"/>
              <w:spacing w:before="0" w:line="204" w:lineRule="auto"/>
              <w:ind w:left="0" w:right="0"/>
              <w:jc w:val="center"/>
              <w:rPr>
                <w:rFonts w:hint="eastAsia" w:ascii="仿宋_GB2312" w:hAnsi="仿宋_GB2312" w:eastAsia="仿宋_GB2312" w:cs="仿宋_GB2312"/>
                <w:b/>
                <w:bCs/>
                <w:spacing w:val="7"/>
                <w:sz w:val="30"/>
                <w:szCs w:val="30"/>
              </w:rPr>
            </w:pPr>
            <w:r>
              <w:rPr>
                <w:rFonts w:hint="eastAsia" w:ascii="仿宋_GB2312" w:hAnsi="仿宋_GB2312" w:eastAsia="仿宋_GB2312" w:cs="仿宋_GB2312"/>
                <w:b/>
                <w:bCs/>
                <w:spacing w:val="7"/>
                <w:sz w:val="30"/>
                <w:szCs w:val="30"/>
              </w:rPr>
              <w:t>评价方法</w:t>
            </w:r>
          </w:p>
        </w:tc>
        <w:tc>
          <w:tcPr>
            <w:tcW w:w="4830" w:type="dxa"/>
            <w:vAlign w:val="center"/>
          </w:tcPr>
          <w:p>
            <w:pPr>
              <w:pStyle w:val="14"/>
              <w:keepNext w:val="0"/>
              <w:keepLines w:val="0"/>
              <w:pageBreakBefore w:val="0"/>
              <w:widowControl w:val="0"/>
              <w:shd w:val="clear" w:color="auto" w:fill="auto"/>
              <w:kinsoku/>
              <w:wordWrap/>
              <w:overflowPunct/>
              <w:topLinePunct w:val="0"/>
              <w:autoSpaceDE/>
              <w:autoSpaceDN/>
              <w:bidi w:val="0"/>
              <w:spacing w:before="0" w:line="204" w:lineRule="auto"/>
              <w:ind w:left="0" w:right="0"/>
              <w:jc w:val="center"/>
              <w:rPr>
                <w:rFonts w:hint="eastAsia" w:ascii="仿宋_GB2312" w:hAnsi="仿宋_GB2312" w:eastAsia="仿宋_GB2312" w:cs="仿宋_GB2312"/>
                <w:b/>
                <w:bCs/>
                <w:spacing w:val="7"/>
                <w:sz w:val="30"/>
                <w:szCs w:val="30"/>
              </w:rPr>
            </w:pPr>
            <w:r>
              <w:rPr>
                <w:rFonts w:hint="eastAsia" w:ascii="仿宋_GB2312" w:hAnsi="仿宋_GB2312" w:eastAsia="仿宋_GB2312" w:cs="仿宋_GB2312"/>
                <w:b/>
                <w:bCs/>
                <w:spacing w:val="7"/>
                <w:sz w:val="30"/>
                <w:szCs w:val="30"/>
              </w:rPr>
              <w:t>评价指标</w:t>
            </w:r>
          </w:p>
        </w:tc>
        <w:tc>
          <w:tcPr>
            <w:tcW w:w="1417" w:type="dxa"/>
            <w:vAlign w:val="center"/>
          </w:tcPr>
          <w:p>
            <w:pPr>
              <w:pStyle w:val="14"/>
              <w:keepNext w:val="0"/>
              <w:keepLines w:val="0"/>
              <w:pageBreakBefore w:val="0"/>
              <w:widowControl w:val="0"/>
              <w:shd w:val="clear" w:color="auto" w:fill="auto"/>
              <w:kinsoku/>
              <w:wordWrap/>
              <w:overflowPunct/>
              <w:topLinePunct w:val="0"/>
              <w:autoSpaceDE/>
              <w:autoSpaceDN/>
              <w:bidi w:val="0"/>
              <w:spacing w:before="0" w:line="204" w:lineRule="auto"/>
              <w:ind w:left="0" w:right="0"/>
              <w:jc w:val="center"/>
              <w:rPr>
                <w:rFonts w:hint="default" w:ascii="仿宋_GB2312" w:hAnsi="仿宋_GB2312" w:eastAsia="仿宋_GB2312" w:cs="仿宋_GB2312"/>
                <w:b/>
                <w:bCs/>
                <w:spacing w:val="7"/>
                <w:sz w:val="30"/>
                <w:szCs w:val="30"/>
                <w:lang w:val="en-US" w:eastAsia="zh-CN"/>
              </w:rPr>
            </w:pPr>
            <w:r>
              <w:rPr>
                <w:rFonts w:hint="eastAsia" w:ascii="仿宋_GB2312" w:hAnsi="仿宋_GB2312" w:eastAsia="仿宋_GB2312" w:cs="仿宋_GB2312"/>
                <w:b/>
                <w:bCs/>
                <w:spacing w:val="7"/>
                <w:sz w:val="30"/>
                <w:szCs w:val="30"/>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restart"/>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r>
              <w:rPr>
                <w:rFonts w:hint="eastAsia" w:ascii="仿宋_GB2312" w:hAnsi="仿宋_GB2312" w:eastAsia="仿宋_GB2312" w:cs="仿宋_GB2312"/>
                <w:spacing w:val="0"/>
                <w:position w:val="0"/>
                <w:sz w:val="21"/>
                <w:szCs w:val="21"/>
                <w:lang w:val="en-US" w:eastAsia="en-US"/>
              </w:rPr>
              <w:t>基本药物</w:t>
            </w:r>
            <w:r>
              <w:rPr>
                <w:rFonts w:hint="eastAsia" w:ascii="仿宋_GB2312" w:hAnsi="仿宋_GB2312" w:eastAsia="仿宋_GB2312" w:cs="仿宋_GB2312"/>
                <w:spacing w:val="0"/>
                <w:position w:val="0"/>
                <w:sz w:val="21"/>
                <w:szCs w:val="21"/>
                <w:lang w:val="en-US" w:eastAsia="zh-CN"/>
              </w:rPr>
              <w:t>、增补药物</w:t>
            </w:r>
            <w:r>
              <w:rPr>
                <w:rFonts w:hint="eastAsia" w:ascii="仿宋_GB2312" w:hAnsi="仿宋_GB2312" w:eastAsia="仿宋_GB2312" w:cs="仿宋_GB2312"/>
                <w:spacing w:val="0"/>
                <w:position w:val="0"/>
                <w:sz w:val="21"/>
                <w:szCs w:val="21"/>
                <w:lang w:val="en-US" w:eastAsia="en-US"/>
              </w:rPr>
              <w:t>配备使用</w:t>
            </w:r>
          </w:p>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r>
              <w:rPr>
                <w:rFonts w:hint="eastAsia" w:ascii="仿宋_GB2312" w:hAnsi="仿宋_GB2312" w:eastAsia="仿宋_GB2312" w:cs="仿宋_GB2312"/>
                <w:spacing w:val="0"/>
                <w:position w:val="0"/>
                <w:sz w:val="21"/>
                <w:szCs w:val="21"/>
                <w:lang w:val="en-US" w:eastAsia="en-US"/>
              </w:rPr>
              <w:t>比例</w:t>
            </w:r>
          </w:p>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r>
              <w:rPr>
                <w:rFonts w:hint="eastAsia" w:ascii="仿宋_GB2312" w:hAnsi="仿宋_GB2312" w:eastAsia="仿宋_GB2312" w:cs="仿宋_GB2312"/>
                <w:spacing w:val="0"/>
                <w:position w:val="0"/>
                <w:sz w:val="21"/>
                <w:szCs w:val="21"/>
                <w:lang w:val="en-US" w:eastAsia="zh-CN"/>
              </w:rPr>
              <w:t>（</w:t>
            </w:r>
            <w:r>
              <w:rPr>
                <w:rFonts w:hint="eastAsia" w:ascii="仿宋_GB2312" w:hAnsi="仿宋_GB2312" w:eastAsia="仿宋_GB2312" w:cs="仿宋_GB2312"/>
                <w:spacing w:val="0"/>
                <w:position w:val="0"/>
                <w:sz w:val="21"/>
                <w:szCs w:val="21"/>
                <w:lang w:val="en-US" w:eastAsia="en-US"/>
              </w:rPr>
              <w:t>20分</w:t>
            </w:r>
            <w:r>
              <w:rPr>
                <w:rFonts w:hint="eastAsia" w:ascii="仿宋_GB2312" w:hAnsi="仿宋_GB2312" w:eastAsia="仿宋_GB2312" w:cs="仿宋_GB2312"/>
                <w:spacing w:val="0"/>
                <w:position w:val="0"/>
                <w:sz w:val="21"/>
                <w:szCs w:val="21"/>
                <w:lang w:val="en-US" w:eastAsia="zh-CN"/>
              </w:rPr>
              <w:t>）</w:t>
            </w:r>
          </w:p>
        </w:tc>
        <w:tc>
          <w:tcPr>
            <w:tcW w:w="677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查阅省药品采购系统相关数据，基本药物配备占本年度药品采购总金额比例和品种比例均应达到规定比例，比例未达标的每低1%均扣2分，最多扣20分。采购使用的增补议价品种是否建立专项台账，是否超过本单位网上采购药品总金额的8%</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超过扣</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2</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分</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未建立专项台账扣2分。</w:t>
            </w: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年度药品采购总金额</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p>
        </w:tc>
        <w:tc>
          <w:tcPr>
            <w:tcW w:w="67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年度基本药物采购金额</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p>
        </w:tc>
        <w:tc>
          <w:tcPr>
            <w:tcW w:w="67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zh-CN"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年度基本药物采购金额比</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、增补药物金额比</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p>
        </w:tc>
        <w:tc>
          <w:tcPr>
            <w:tcW w:w="67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年度药品采购总品种数</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p>
        </w:tc>
        <w:tc>
          <w:tcPr>
            <w:tcW w:w="67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年度基本药物采购品种数</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p>
        </w:tc>
        <w:tc>
          <w:tcPr>
            <w:tcW w:w="67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年度基本药物采购品种比</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r>
              <w:rPr>
                <w:rFonts w:hint="eastAsia" w:ascii="仿宋_GB2312" w:hAnsi="仿宋_GB2312" w:eastAsia="仿宋_GB2312" w:cs="仿宋_GB2312"/>
                <w:spacing w:val="0"/>
                <w:position w:val="0"/>
                <w:sz w:val="21"/>
                <w:szCs w:val="21"/>
                <w:lang w:val="en-US" w:eastAsia="en-US"/>
              </w:rPr>
              <w:t>药品网上采购率</w:t>
            </w:r>
            <w:r>
              <w:rPr>
                <w:rFonts w:hint="eastAsia" w:ascii="仿宋_GB2312" w:hAnsi="仿宋_GB2312" w:eastAsia="仿宋_GB2312" w:cs="仿宋_GB2312"/>
                <w:spacing w:val="0"/>
                <w:position w:val="0"/>
                <w:sz w:val="21"/>
                <w:szCs w:val="21"/>
                <w:lang w:val="en-US" w:eastAsia="zh-CN"/>
              </w:rPr>
              <w:t>（</w:t>
            </w:r>
            <w:r>
              <w:rPr>
                <w:rFonts w:hint="eastAsia" w:ascii="仿宋_GB2312" w:hAnsi="仿宋_GB2312" w:eastAsia="仿宋_GB2312" w:cs="仿宋_GB2312"/>
                <w:spacing w:val="0"/>
                <w:position w:val="0"/>
                <w:sz w:val="21"/>
                <w:szCs w:val="21"/>
                <w:lang w:val="en-US" w:eastAsia="en-US"/>
              </w:rPr>
              <w:t>15分</w:t>
            </w:r>
            <w:r>
              <w:rPr>
                <w:rFonts w:hint="eastAsia" w:ascii="仿宋_GB2312" w:hAnsi="仿宋_GB2312" w:eastAsia="仿宋_GB2312" w:cs="仿宋_GB2312"/>
                <w:spacing w:val="0"/>
                <w:position w:val="0"/>
                <w:sz w:val="21"/>
                <w:szCs w:val="21"/>
                <w:lang w:val="en-US" w:eastAsia="zh-CN"/>
              </w:rPr>
              <w:t>）</w:t>
            </w:r>
          </w:p>
        </w:tc>
        <w:tc>
          <w:tcPr>
            <w:tcW w:w="677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基层医疗卫生机构的药品网上采购率应达到100%</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未达到的每低1%扣0.5分，扣完为止。</w:t>
            </w: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基层医疗卫生机构的药品网上采购率</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r>
              <w:rPr>
                <w:rFonts w:hint="eastAsia" w:ascii="仿宋_GB2312" w:hAnsi="仿宋_GB2312" w:eastAsia="仿宋_GB2312" w:cs="仿宋_GB2312"/>
                <w:spacing w:val="0"/>
                <w:position w:val="0"/>
                <w:sz w:val="21"/>
                <w:szCs w:val="21"/>
                <w:lang w:val="en-US" w:eastAsia="en-US"/>
              </w:rPr>
              <w:t>零差率销售管理</w:t>
            </w:r>
            <w:r>
              <w:rPr>
                <w:rFonts w:hint="eastAsia" w:ascii="仿宋_GB2312" w:hAnsi="仿宋_GB2312" w:eastAsia="仿宋_GB2312" w:cs="仿宋_GB2312"/>
                <w:spacing w:val="0"/>
                <w:position w:val="0"/>
                <w:sz w:val="21"/>
                <w:szCs w:val="21"/>
                <w:lang w:val="en-US" w:eastAsia="zh-CN"/>
              </w:rPr>
              <w:t>（</w:t>
            </w:r>
            <w:r>
              <w:rPr>
                <w:rFonts w:hint="eastAsia" w:ascii="仿宋_GB2312" w:hAnsi="仿宋_GB2312" w:eastAsia="仿宋_GB2312" w:cs="仿宋_GB2312"/>
                <w:spacing w:val="0"/>
                <w:position w:val="0"/>
                <w:sz w:val="21"/>
                <w:szCs w:val="21"/>
                <w:lang w:val="en-US" w:eastAsia="en-US"/>
              </w:rPr>
              <w:t>10分</w:t>
            </w:r>
            <w:r>
              <w:rPr>
                <w:rFonts w:hint="eastAsia" w:ascii="仿宋_GB2312" w:hAnsi="仿宋_GB2312" w:eastAsia="仿宋_GB2312" w:cs="仿宋_GB2312"/>
                <w:spacing w:val="0"/>
                <w:position w:val="0"/>
                <w:sz w:val="21"/>
                <w:szCs w:val="21"/>
                <w:lang w:val="en-US" w:eastAsia="zh-CN"/>
              </w:rPr>
              <w:t>）</w:t>
            </w:r>
          </w:p>
        </w:tc>
        <w:tc>
          <w:tcPr>
            <w:tcW w:w="677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从基层医疗卫生机构随机抽取10种药品</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医师处方、医保报销系统各5种</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发现加价销售扣10分。</w:t>
            </w: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药品是否存在加价销售</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restart"/>
            <w:tcBorders>
              <w:bottom w:val="nil"/>
            </w:tcBorders>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r>
              <w:rPr>
                <w:rFonts w:hint="eastAsia" w:ascii="仿宋_GB2312" w:hAnsi="仿宋_GB2312" w:eastAsia="仿宋_GB2312" w:cs="仿宋_GB2312"/>
                <w:spacing w:val="0"/>
                <w:position w:val="0"/>
                <w:sz w:val="21"/>
                <w:szCs w:val="21"/>
                <w:lang w:val="en-US" w:eastAsia="en-US"/>
              </w:rPr>
              <w:t>药品短缺信息报送</w:t>
            </w:r>
          </w:p>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r>
              <w:rPr>
                <w:rFonts w:hint="eastAsia" w:ascii="仿宋_GB2312" w:hAnsi="仿宋_GB2312" w:eastAsia="仿宋_GB2312" w:cs="仿宋_GB2312"/>
                <w:spacing w:val="0"/>
                <w:position w:val="0"/>
                <w:sz w:val="21"/>
                <w:szCs w:val="21"/>
                <w:lang w:val="en-US" w:eastAsia="zh-CN"/>
              </w:rPr>
              <w:t>（5</w:t>
            </w:r>
            <w:r>
              <w:rPr>
                <w:rFonts w:hint="eastAsia" w:ascii="仿宋_GB2312" w:hAnsi="仿宋_GB2312" w:eastAsia="仿宋_GB2312" w:cs="仿宋_GB2312"/>
                <w:spacing w:val="0"/>
                <w:position w:val="0"/>
                <w:sz w:val="21"/>
                <w:szCs w:val="21"/>
                <w:lang w:val="en-US" w:eastAsia="en-US"/>
              </w:rPr>
              <w:t>分</w:t>
            </w:r>
            <w:r>
              <w:rPr>
                <w:rFonts w:hint="eastAsia" w:ascii="仿宋_GB2312" w:hAnsi="仿宋_GB2312" w:eastAsia="仿宋_GB2312" w:cs="仿宋_GB2312"/>
                <w:spacing w:val="0"/>
                <w:position w:val="0"/>
                <w:sz w:val="21"/>
                <w:szCs w:val="21"/>
                <w:lang w:val="en-US" w:eastAsia="zh-CN"/>
              </w:rPr>
              <w:t>）</w:t>
            </w:r>
          </w:p>
        </w:tc>
        <w:tc>
          <w:tcPr>
            <w:tcW w:w="677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基层医疗机构应建立药品短缺信息报送制度，并确定专人负责，未建立制度的扣</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5</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分，未明确专人负责的扣</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5</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分。发现有未及时填报药品短缺信息的扣5分。此项最多扣</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5分</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w:t>
            </w: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是否建立药品短缺信息报送制度</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tcBorders>
              <w:top w:val="nil"/>
              <w:bottom w:val="nil"/>
            </w:tcBorders>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p>
        </w:tc>
        <w:tc>
          <w:tcPr>
            <w:tcW w:w="6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药品短缺信息报送负责人姓名</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tcBorders>
              <w:top w:val="nil"/>
            </w:tcBorders>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p>
        </w:tc>
        <w:tc>
          <w:tcPr>
            <w:tcW w:w="677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是否及时填报药品短缺信息</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restart"/>
            <w:tcBorders>
              <w:bottom w:val="nil"/>
            </w:tcBorders>
            <w:vAlign w:val="center"/>
          </w:tcPr>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r>
              <w:rPr>
                <w:rFonts w:hint="eastAsia" w:ascii="仿宋_GB2312" w:hAnsi="仿宋_GB2312" w:eastAsia="仿宋_GB2312" w:cs="仿宋_GB2312"/>
                <w:spacing w:val="0"/>
                <w:position w:val="0"/>
                <w:sz w:val="21"/>
                <w:szCs w:val="21"/>
                <w:lang w:val="en-US" w:eastAsia="en-US"/>
              </w:rPr>
              <w:t>药事管理机构和制度</w:t>
            </w:r>
          </w:p>
          <w:p>
            <w:pPr>
              <w:pStyle w:val="14"/>
              <w:keepNext w:val="0"/>
              <w:keepLines w:val="0"/>
              <w:pageBreakBefore w:val="0"/>
              <w:widowControl w:val="0"/>
              <w:shd w:val="clear" w:color="auto" w:fill="auto"/>
              <w:kinsoku/>
              <w:wordWrap/>
              <w:overflowPunct/>
              <w:topLinePunct w:val="0"/>
              <w:autoSpaceDE/>
              <w:autoSpaceDN/>
              <w:bidi w:val="0"/>
              <w:spacing w:before="0" w:line="319" w:lineRule="exact"/>
              <w:ind w:left="0" w:right="0"/>
              <w:jc w:val="center"/>
              <w:rPr>
                <w:rFonts w:hint="eastAsia" w:ascii="仿宋_GB2312" w:hAnsi="仿宋_GB2312" w:eastAsia="仿宋_GB2312" w:cs="仿宋_GB2312"/>
                <w:spacing w:val="0"/>
                <w:position w:val="0"/>
                <w:sz w:val="21"/>
                <w:szCs w:val="21"/>
                <w:lang w:val="en-US" w:eastAsia="en-US"/>
              </w:rPr>
            </w:pPr>
            <w:r>
              <w:rPr>
                <w:rFonts w:hint="eastAsia" w:ascii="仿宋_GB2312" w:hAnsi="仿宋_GB2312" w:eastAsia="仿宋_GB2312" w:cs="仿宋_GB2312"/>
                <w:spacing w:val="0"/>
                <w:position w:val="0"/>
                <w:sz w:val="21"/>
                <w:szCs w:val="21"/>
                <w:lang w:val="en-US" w:eastAsia="zh-CN"/>
              </w:rPr>
              <w:t>（</w:t>
            </w:r>
            <w:r>
              <w:rPr>
                <w:rFonts w:hint="eastAsia" w:ascii="仿宋_GB2312" w:hAnsi="仿宋_GB2312" w:eastAsia="仿宋_GB2312" w:cs="仿宋_GB2312"/>
                <w:spacing w:val="0"/>
                <w:position w:val="0"/>
                <w:sz w:val="21"/>
                <w:szCs w:val="21"/>
                <w:lang w:val="en-US" w:eastAsia="en-US"/>
              </w:rPr>
              <w:t>5分</w:t>
            </w:r>
            <w:r>
              <w:rPr>
                <w:rFonts w:hint="eastAsia" w:ascii="仿宋_GB2312" w:hAnsi="仿宋_GB2312" w:eastAsia="仿宋_GB2312" w:cs="仿宋_GB2312"/>
                <w:spacing w:val="0"/>
                <w:position w:val="0"/>
                <w:sz w:val="21"/>
                <w:szCs w:val="21"/>
                <w:lang w:val="en-US" w:eastAsia="zh-CN"/>
              </w:rPr>
              <w:t>）</w:t>
            </w:r>
          </w:p>
        </w:tc>
        <w:tc>
          <w:tcPr>
            <w:tcW w:w="677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基层医疗卫生机构应设立药事管理与药物治疗学组，未设立的扣4分，设立了但本机构主要负责人未任组长的，扣2分。基层医疗机构应建立药品供应管理、药品储存管理</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、有</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效期药品管理、处方调剂管理制度、处方点评制度，未建立的每项扣1分。本项最多扣5分。</w:t>
            </w: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是否设立药事管理与药物治疗学组</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 w:hAnsi="仿宋" w:eastAsia="仿宋" w:cs="仿宋"/>
                <w:color w:val="000000"/>
                <w:spacing w:val="0"/>
                <w:w w:val="100"/>
                <w:position w:val="0"/>
                <w:sz w:val="22"/>
                <w:szCs w:val="22"/>
                <w:shd w:val="clear" w:color="auto" w:fill="auto"/>
                <w:lang w:val="en-US" w:eastAsia="en-US" w:bidi="ar-SA"/>
              </w:rPr>
            </w:pPr>
          </w:p>
        </w:tc>
        <w:tc>
          <w:tcPr>
            <w:tcW w:w="6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 w:hAnsi="仿宋" w:eastAsia="仿宋" w:cs="仿宋"/>
                <w:color w:val="000000"/>
                <w:spacing w:val="0"/>
                <w:w w:val="100"/>
                <w:position w:val="0"/>
                <w:sz w:val="22"/>
                <w:szCs w:val="22"/>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是否本机构主要负责人任组长</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 w:hAnsi="仿宋" w:eastAsia="仿宋" w:cs="仿宋"/>
                <w:color w:val="000000"/>
                <w:spacing w:val="0"/>
                <w:w w:val="100"/>
                <w:position w:val="0"/>
                <w:sz w:val="22"/>
                <w:szCs w:val="22"/>
                <w:shd w:val="clear" w:color="auto" w:fill="auto"/>
                <w:lang w:val="en-US" w:eastAsia="en-US" w:bidi="ar-SA"/>
              </w:rPr>
            </w:pPr>
          </w:p>
        </w:tc>
        <w:tc>
          <w:tcPr>
            <w:tcW w:w="6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 w:hAnsi="仿宋" w:eastAsia="仿宋" w:cs="仿宋"/>
                <w:color w:val="000000"/>
                <w:spacing w:val="0"/>
                <w:w w:val="100"/>
                <w:position w:val="0"/>
                <w:sz w:val="22"/>
                <w:szCs w:val="22"/>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是否建立药品供应管理制度</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 w:hAnsi="仿宋" w:eastAsia="仿宋" w:cs="仿宋"/>
                <w:color w:val="000000"/>
                <w:spacing w:val="0"/>
                <w:w w:val="100"/>
                <w:position w:val="0"/>
                <w:sz w:val="22"/>
                <w:szCs w:val="22"/>
                <w:shd w:val="clear" w:color="auto" w:fill="auto"/>
                <w:lang w:val="en-US" w:eastAsia="en-US" w:bidi="ar-SA"/>
              </w:rPr>
            </w:pPr>
          </w:p>
        </w:tc>
        <w:tc>
          <w:tcPr>
            <w:tcW w:w="6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 w:hAnsi="仿宋" w:eastAsia="仿宋" w:cs="仿宋"/>
                <w:color w:val="000000"/>
                <w:spacing w:val="0"/>
                <w:w w:val="100"/>
                <w:position w:val="0"/>
                <w:sz w:val="22"/>
                <w:szCs w:val="22"/>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是否建立药品储存管理制度</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 w:hAnsi="仿宋" w:eastAsia="仿宋" w:cs="仿宋"/>
                <w:color w:val="000000"/>
                <w:spacing w:val="0"/>
                <w:w w:val="100"/>
                <w:position w:val="0"/>
                <w:sz w:val="22"/>
                <w:szCs w:val="22"/>
                <w:shd w:val="clear" w:color="auto" w:fill="auto"/>
                <w:lang w:val="en-US" w:eastAsia="en-US" w:bidi="ar-SA"/>
              </w:rPr>
            </w:pPr>
          </w:p>
        </w:tc>
        <w:tc>
          <w:tcPr>
            <w:tcW w:w="677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 w:hAnsi="仿宋" w:eastAsia="仿宋" w:cs="仿宋"/>
                <w:color w:val="000000"/>
                <w:spacing w:val="0"/>
                <w:w w:val="100"/>
                <w:position w:val="0"/>
                <w:sz w:val="22"/>
                <w:szCs w:val="22"/>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是否建立效期药品管理制度</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 w:hAnsi="仿宋" w:eastAsia="仿宋" w:cs="仿宋"/>
                <w:color w:val="000000"/>
                <w:spacing w:val="0"/>
                <w:w w:val="100"/>
                <w:position w:val="0"/>
                <w:sz w:val="22"/>
                <w:szCs w:val="22"/>
                <w:shd w:val="clear" w:color="auto" w:fill="auto"/>
                <w:lang w:val="en-US" w:eastAsia="en-US" w:bidi="ar-SA"/>
              </w:rPr>
            </w:pPr>
          </w:p>
        </w:tc>
        <w:tc>
          <w:tcPr>
            <w:tcW w:w="677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both"/>
              <w:textAlignment w:val="baseline"/>
              <w:rPr>
                <w:rFonts w:hint="eastAsia" w:ascii="仿宋" w:hAnsi="仿宋" w:eastAsia="仿宋" w:cs="仿宋"/>
                <w:color w:val="000000"/>
                <w:spacing w:val="0"/>
                <w:w w:val="100"/>
                <w:position w:val="0"/>
                <w:sz w:val="22"/>
                <w:szCs w:val="22"/>
                <w:shd w:val="clear" w:color="auto" w:fill="auto"/>
                <w:lang w:val="en-US" w:eastAsia="en-US" w:bidi="ar-SA"/>
              </w:rPr>
            </w:pPr>
          </w:p>
        </w:tc>
        <w:tc>
          <w:tcPr>
            <w:tcW w:w="483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是否建立处方调剂管理制度</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bl>
    <w:p>
      <w:pPr>
        <w:pStyle w:val="14"/>
        <w:keepNext w:val="0"/>
        <w:keepLines w:val="0"/>
        <w:pageBreakBefore w:val="0"/>
        <w:widowControl w:val="0"/>
        <w:shd w:val="clear" w:color="auto" w:fill="auto"/>
        <w:kinsoku/>
        <w:wordWrap/>
        <w:overflowPunct/>
        <w:topLinePunct w:val="0"/>
        <w:autoSpaceDE/>
        <w:autoSpaceDN/>
        <w:bidi w:val="0"/>
        <w:spacing w:before="29" w:line="204" w:lineRule="auto"/>
        <w:ind w:left="68"/>
        <w:jc w:val="center"/>
        <w:rPr>
          <w:rFonts w:hint="default" w:ascii="仿宋" w:hAnsi="仿宋" w:eastAsia="仿宋" w:cs="仿宋"/>
          <w:spacing w:val="0"/>
          <w:w w:val="100"/>
          <w:kern w:val="2"/>
          <w:position w:val="0"/>
          <w:sz w:val="24"/>
          <w:szCs w:val="24"/>
          <w:u w:val="none"/>
          <w:shd w:val="clear"/>
          <w:lang w:val="en-US" w:eastAsia="zh-CN" w:bidi="ar-SA"/>
        </w:rPr>
      </w:pPr>
      <w:r>
        <w:rPr>
          <w:rFonts w:hint="eastAsia"/>
          <w:b w:val="0"/>
          <w:bCs w:val="0"/>
          <w:color w:val="000000"/>
          <w:spacing w:val="0"/>
          <w:w w:val="100"/>
          <w:position w:val="0"/>
          <w:sz w:val="28"/>
          <w:szCs w:val="28"/>
          <w:lang w:val="en-US" w:eastAsia="zh-CN"/>
        </w:rPr>
        <w:t xml:space="preserve">                                 </w:t>
      </w:r>
      <w:bookmarkEnd w:id="0"/>
      <w:bookmarkEnd w:id="1"/>
      <w:bookmarkEnd w:id="2"/>
      <w:r>
        <w:rPr>
          <w:rFonts w:hint="eastAsia" w:ascii="仿宋_GB2312" w:hAnsi="仿宋_GB2312" w:eastAsia="仿宋_GB2312" w:cs="仿宋_GB2312"/>
          <w:color w:val="000000"/>
          <w:spacing w:val="-6"/>
          <w:w w:val="100"/>
          <w:kern w:val="2"/>
          <w:position w:val="0"/>
          <w:sz w:val="32"/>
          <w:szCs w:val="32"/>
          <w:u w:val="none"/>
          <w:shd w:val="clear" w:color="auto" w:fill="auto"/>
          <w:lang w:val="en-US" w:eastAsia="zh-CN" w:bidi="ar-SA"/>
        </w:rPr>
        <w:t>单位：</w:t>
      </w:r>
    </w:p>
    <w:p>
      <w:pPr>
        <w:keepNext w:val="0"/>
        <w:keepLines w:val="0"/>
        <w:pageBreakBefore w:val="0"/>
        <w:widowControl w:val="0"/>
        <w:kinsoku/>
        <w:wordWrap/>
        <w:overflowPunct/>
        <w:topLinePunct w:val="0"/>
        <w:autoSpaceDE/>
        <w:autoSpaceDN/>
        <w:bidi w:val="0"/>
        <w:spacing w:before="0" w:line="230" w:lineRule="auto"/>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en-US" w:bidi="ar-SA"/>
        </w:rPr>
        <w:br w:type="page"/>
      </w:r>
    </w:p>
    <w:tbl>
      <w:tblPr>
        <w:tblStyle w:val="15"/>
        <w:tblW w:w="14647"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5"/>
        <w:gridCol w:w="6765"/>
        <w:gridCol w:w="4860"/>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restart"/>
            <w:tcBorders>
              <w:bottom w:val="nil"/>
            </w:tcBorders>
            <w:vAlign w:val="center"/>
          </w:tcPr>
          <w:p>
            <w:pPr>
              <w:keepNext w:val="0"/>
              <w:keepLines w:val="0"/>
              <w:pageBreakBefore w:val="0"/>
              <w:widowControl w:val="0"/>
              <w:kinsoku/>
              <w:wordWrap/>
              <w:overflowPunct/>
              <w:topLinePunct w:val="0"/>
              <w:autoSpaceDE/>
              <w:autoSpaceDN/>
              <w:bidi w:val="0"/>
              <w:spacing w:before="0" w:line="230" w:lineRule="auto"/>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en-US" w:bidi="ar-SA"/>
              </w:rPr>
              <w:t>药房设备管理和药品储存养护</w:t>
            </w:r>
          </w:p>
          <w:p>
            <w:pPr>
              <w:keepNext w:val="0"/>
              <w:keepLines w:val="0"/>
              <w:pageBreakBefore w:val="0"/>
              <w:widowControl w:val="0"/>
              <w:kinsoku/>
              <w:wordWrap/>
              <w:overflowPunct/>
              <w:topLinePunct w:val="0"/>
              <w:autoSpaceDE/>
              <w:autoSpaceDN/>
              <w:bidi w:val="0"/>
              <w:spacing w:before="0" w:line="230" w:lineRule="auto"/>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10分</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p>
        </w:tc>
        <w:tc>
          <w:tcPr>
            <w:tcW w:w="6765" w:type="dxa"/>
            <w:vMerge w:val="restart"/>
            <w:tcBorders>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基层医疗机构药房应至少配备1名在药学工作岗位的药学</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中药学</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专业技术人员，未配备扣5分。配备空调、冰箱、计算机、打印机、保险柜、药架</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柜</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、避光药柜、密闭的中药饮片柜、温湿度计等，配备不全每种扣1分。基层医疗机构药库</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房</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应配备专</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兼</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职养护人员，未配备扣2分；配备养护人员但未定期监测和记录储存区域的温湿度或建立相应的养护档案，扣3分。本项最多扣10分。</w:t>
            </w: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是否配备药学</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中药学</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专业技术人员</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是否配备空调、冰箱、计算机、打印机、保险柜、药架</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柜</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、避光药柜、密闭的中药饮片柜、温湿度计</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未配齐的标明缺少哪种</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药品养护人员姓名</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是否定期监测和记录储存区域的温湿度</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是否建立相应的养护档案</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restart"/>
            <w:tcBorders>
              <w:bottom w:val="nil"/>
            </w:tcBorders>
            <w:vAlign w:val="center"/>
          </w:tcPr>
          <w:p>
            <w:pPr>
              <w:keepNext w:val="0"/>
              <w:keepLines w:val="0"/>
              <w:pageBreakBefore w:val="0"/>
              <w:widowControl w:val="0"/>
              <w:kinsoku/>
              <w:wordWrap/>
              <w:overflowPunct/>
              <w:topLinePunct w:val="0"/>
              <w:autoSpaceDE/>
              <w:autoSpaceDN/>
              <w:bidi w:val="0"/>
              <w:spacing w:before="0" w:line="226" w:lineRule="auto"/>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en-US" w:bidi="ar-SA"/>
              </w:rPr>
              <w:t>处方点评、能力建设</w:t>
            </w:r>
          </w:p>
          <w:p>
            <w:pPr>
              <w:keepNext w:val="0"/>
              <w:keepLines w:val="0"/>
              <w:pageBreakBefore w:val="0"/>
              <w:widowControl w:val="0"/>
              <w:kinsoku/>
              <w:wordWrap/>
              <w:overflowPunct/>
              <w:topLinePunct w:val="0"/>
              <w:autoSpaceDE/>
              <w:autoSpaceDN/>
              <w:bidi w:val="0"/>
              <w:spacing w:before="0" w:line="226" w:lineRule="auto"/>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20分</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p>
        </w:tc>
        <w:tc>
          <w:tcPr>
            <w:tcW w:w="6765" w:type="dxa"/>
            <w:vMerge w:val="restart"/>
            <w:tcBorders>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抽查基层医疗机构</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2024</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年处方30张</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其中使用抗菌药物的处方不少于15张</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进行处方点评，如存在不合理处方，不规范处方每张扣1分，用药不适宜处方每张扣2分，超常处方每张扣3分。扣完20分为止。药师参加县级以上临床能力培训，合格率达100%</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有不合格者扣5分。</w:t>
            </w: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点评处方数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不规范处方数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用药不适宜处方数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超常处方数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药师能力培训合格率</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restart"/>
            <w:tcBorders>
              <w:bottom w:val="nil"/>
            </w:tcBorders>
            <w:vAlign w:val="center"/>
          </w:tcPr>
          <w:p>
            <w:pPr>
              <w:keepNext w:val="0"/>
              <w:keepLines w:val="0"/>
              <w:pageBreakBefore w:val="0"/>
              <w:widowControl w:val="0"/>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en-US" w:bidi="ar-SA"/>
              </w:rPr>
              <w:t>村卫生室基本药物制度管理、评价和补助资金拨付</w:t>
            </w:r>
          </w:p>
          <w:p>
            <w:pPr>
              <w:keepNext w:val="0"/>
              <w:keepLines w:val="0"/>
              <w:pageBreakBefore w:val="0"/>
              <w:widowControl w:val="0"/>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10分</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p>
        </w:tc>
        <w:tc>
          <w:tcPr>
            <w:tcW w:w="6765" w:type="dxa"/>
            <w:vMerge w:val="restart"/>
            <w:tcBorders>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未建立村卫生室基药代购制度和村卫生室基药使用管理办法扣1分，未建立真实、完整的村卫生室药品采购台账</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台账应有药品的各项基本信息、采购时间等并附发票或随货同行联且每个村卫生室应单独记账</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扣3分，未明确专人负责扣1分。乡镇卫生院应对村卫生室实施基本药物制度</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情况</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进行评价，未组织评价的扣6分，组织评价但没有按省里要求全部评价的扣4分，评价但结果不与补助资金分配挂钩的扣3分。补助资金出现拨付不及时不到位的或分配存在明显不合理现象的扣6分。此项最多扣10分。村卫生室基药补助资金超出基药代采购金额的1例次扣5分，10分扣完为止。</w:t>
            </w: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是否建立村卫生室基药代购制度</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是否有规范的村卫生室基药使用管理办法</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是否有真实、完整的村卫生室药品采购台账</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村卫生室基药代购负责人姓名</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是否组织对村卫生室实施基本药物制度情况评价</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评价方法是否少于省级评价要求的内容</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评价结果是否与补助资金分配挂钩</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补助资金是否及时足额拨付</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补助资金分配是否存在明显不合理现象</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spacing w:before="0"/>
              <w:ind w:left="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60"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是否存在村卫生室基药补助资金超出基药代采购金额现象</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line="220" w:lineRule="auto"/>
              <w:ind w:left="0" w:right="0" w:firstLine="210" w:firstLineChars="10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两病</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患者就医购药情况</w:t>
            </w:r>
          </w:p>
          <w:p>
            <w:pPr>
              <w:keepNext w:val="0"/>
              <w:keepLines w:val="0"/>
              <w:pageBreakBefore w:val="0"/>
              <w:widowControl w:val="0"/>
              <w:kinsoku/>
              <w:wordWrap/>
              <w:overflowPunct/>
              <w:topLinePunct w:val="0"/>
              <w:autoSpaceDE/>
              <w:autoSpaceDN/>
              <w:bidi w:val="0"/>
              <w:spacing w:before="0" w:line="220" w:lineRule="auto"/>
              <w:ind w:left="0" w:leftChars="0"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5分</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p>
        </w:tc>
        <w:tc>
          <w:tcPr>
            <w:tcW w:w="6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两病</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患者健康管理年度任务目标范围内，在管高血压糖尿病患者在基层医疗机构就医购药比例</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在管高血压糖尿病患者基层医疗机构就诊购药人数÷高血压糖尿病患者任务数</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未达到100%的，每低1个百分点扣1分，扣完为止。此项最多扣5分。</w:t>
            </w:r>
          </w:p>
        </w:tc>
        <w:tc>
          <w:tcPr>
            <w:tcW w:w="4860" w:type="dxa"/>
            <w:tcBorders>
              <w:lef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在管高血压糖尿病患者在</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本</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医疗机构就医购药比例</w:t>
            </w:r>
          </w:p>
        </w:tc>
        <w:tc>
          <w:tcPr>
            <w:tcW w:w="1417" w:type="dxa"/>
            <w:tcBorders>
              <w:lef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line="238" w:lineRule="auto"/>
              <w:ind w:left="0" w:right="0" w:rightChars="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en-US" w:bidi="ar-SA"/>
              </w:rPr>
              <w:t>加分项</w:t>
            </w:r>
          </w:p>
        </w:tc>
        <w:tc>
          <w:tcPr>
            <w:tcW w:w="6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zh-CN" w:bidi="ar-SA"/>
              </w:rPr>
              <w:t>积极配合区卫健局落实“种子计划”，药师结对帮扶工作各项指标成效明显或被帮扶单位药师管理工作逐渐进步，</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可根据实际情况加1至</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5</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分。</w:t>
            </w:r>
          </w:p>
        </w:tc>
        <w:tc>
          <w:tcPr>
            <w:tcW w:w="4860" w:type="dxa"/>
            <w:tcBorders>
              <w:lef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1417" w:type="dxa"/>
            <w:tcBorders>
              <w:lef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bl>
    <w:p>
      <w:pPr>
        <w:rPr>
          <w:rFonts w:hint="eastAsia" w:ascii="仿宋_GB2312" w:hAnsi="仿宋_GB2312" w:eastAsia="仿宋_GB2312" w:cs="仿宋_GB2312"/>
          <w:color w:val="000000"/>
          <w:spacing w:val="-6"/>
          <w:w w:val="100"/>
          <w:kern w:val="2"/>
          <w:position w:val="0"/>
          <w:sz w:val="32"/>
          <w:szCs w:val="32"/>
          <w:u w:val="none"/>
          <w:shd w:val="clear"/>
          <w:lang w:val="en-US" w:eastAsia="zh-CN" w:bidi="ar-SA"/>
        </w:rPr>
      </w:pPr>
      <w:r>
        <w:rPr>
          <w:rFonts w:hint="eastAsia" w:ascii="仿宋_GB2312" w:hAnsi="仿宋_GB2312" w:eastAsia="仿宋_GB2312" w:cs="仿宋_GB2312"/>
          <w:color w:val="000000"/>
          <w:spacing w:val="-6"/>
          <w:w w:val="100"/>
          <w:kern w:val="2"/>
          <w:position w:val="0"/>
          <w:sz w:val="32"/>
          <w:szCs w:val="32"/>
          <w:u w:val="none"/>
          <w:shd w:val="clear"/>
          <w:lang w:val="en-US" w:eastAsia="zh-CN" w:bidi="ar-SA"/>
        </w:rPr>
        <w:br w:type="page"/>
      </w:r>
    </w:p>
    <w:p>
      <w:pPr>
        <w:keepNext w:val="0"/>
        <w:keepLines w:val="0"/>
        <w:pageBreakBefore w:val="0"/>
        <w:widowControl w:val="0"/>
        <w:kinsoku/>
        <w:wordWrap/>
        <w:overflowPunct/>
        <w:topLinePunct w:val="0"/>
        <w:autoSpaceDE/>
        <w:autoSpaceDN/>
        <w:bidi w:val="0"/>
        <w:rPr>
          <w:rFonts w:hint="eastAsia" w:ascii="仿宋" w:hAnsi="仿宋" w:eastAsia="仿宋" w:cs="仿宋"/>
          <w:color w:val="000000"/>
          <w:spacing w:val="0"/>
          <w:w w:val="100"/>
          <w:position w:val="0"/>
          <w:sz w:val="22"/>
          <w:szCs w:val="22"/>
          <w:shd w:val="clear" w:color="auto" w:fill="auto"/>
          <w:lang w:val="en-US" w:eastAsia="en-US" w:bidi="ar-SA"/>
        </w:rPr>
      </w:pPr>
      <w:bookmarkStart w:id="3" w:name="_GoBack"/>
      <w:bookmarkEnd w:id="3"/>
    </w:p>
    <w:sectPr>
      <w:headerReference r:id="rId5" w:type="default"/>
      <w:footerReference r:id="rId6" w:type="default"/>
      <w:footnotePr>
        <w:numFmt w:val="decimal"/>
      </w:footnotePr>
      <w:pgSz w:w="16840" w:h="11900" w:orient="landscape"/>
      <w:pgMar w:top="1191" w:right="1519" w:bottom="1020" w:left="1519" w:header="726" w:footer="907"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10EE469C"/>
    <w:rsid w:val="0644162B"/>
    <w:rsid w:val="078863B7"/>
    <w:rsid w:val="10EE469C"/>
    <w:rsid w:val="4B4734B2"/>
    <w:rsid w:val="4BAB3DCF"/>
    <w:rsid w:val="5E3E26AF"/>
    <w:rsid w:val="61795344"/>
    <w:rsid w:val="75740A4D"/>
    <w:rsid w:val="7B294F71"/>
    <w:rsid w:val="7D0C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spacing w:line="300" w:lineRule="auto"/>
      <w:ind w:firstLine="482" w:firstLineChars="200"/>
    </w:pPr>
    <w:rPr>
      <w:rFonts w:ascii="宋体" w:cs="宋体"/>
      <w:kern w:val="0"/>
      <w:sz w:val="24"/>
      <w:szCs w:val="24"/>
      <w:lang w:val="zh-CN"/>
    </w:rPr>
  </w:style>
  <w:style w:type="paragraph" w:styleId="4">
    <w:name w:val="Body Text Indent"/>
    <w:basedOn w:val="1"/>
    <w:next w:val="3"/>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widowControl w:val="0"/>
      <w:spacing w:before="100" w:beforeAutospacing="1"/>
      <w:ind w:leftChars="200" w:firstLine="420" w:firstLineChars="200"/>
      <w:jc w:val="both"/>
    </w:pPr>
    <w:rPr>
      <w:kern w:val="2"/>
      <w:sz w:val="21"/>
      <w:szCs w:val="21"/>
      <w:lang w:val="en-US" w:eastAsia="zh-CN" w:bidi="ar-SA"/>
    </w:rPr>
  </w:style>
  <w:style w:type="paragraph" w:customStyle="1" w:styleId="10">
    <w:name w:val="Heading #1|1"/>
    <w:basedOn w:val="1"/>
    <w:qFormat/>
    <w:uiPriority w:val="0"/>
    <w:pPr>
      <w:widowControl w:val="0"/>
      <w:shd w:val="clear" w:color="auto" w:fill="auto"/>
      <w:spacing w:before="100" w:after="460" w:line="598" w:lineRule="exact"/>
      <w:jc w:val="center"/>
      <w:outlineLvl w:val="0"/>
    </w:pPr>
    <w:rPr>
      <w:rFonts w:ascii="宋体" w:hAnsi="宋体" w:eastAsia="宋体" w:cs="宋体"/>
      <w:sz w:val="44"/>
      <w:szCs w:val="44"/>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Other|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13">
    <w:name w:val="Table caption|1"/>
    <w:basedOn w:val="1"/>
    <w:qFormat/>
    <w:uiPriority w:val="0"/>
    <w:pPr>
      <w:widowControl w:val="0"/>
      <w:shd w:val="clear" w:color="auto" w:fill="auto"/>
    </w:pPr>
    <w:rPr>
      <w:sz w:val="26"/>
      <w:szCs w:val="26"/>
      <w:u w:val="none"/>
      <w:shd w:val="clear" w:color="auto" w:fill="auto"/>
    </w:rPr>
  </w:style>
  <w:style w:type="paragraph" w:customStyle="1" w:styleId="14">
    <w:name w:val="Table Text"/>
    <w:basedOn w:val="1"/>
    <w:semiHidden/>
    <w:qFormat/>
    <w:uiPriority w:val="0"/>
    <w:rPr>
      <w:rFonts w:ascii="宋体" w:hAnsi="宋体" w:eastAsia="宋体" w:cs="宋体"/>
      <w:sz w:val="25"/>
      <w:szCs w:val="25"/>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6338</Words>
  <Characters>6495</Characters>
  <Lines>0</Lines>
  <Paragraphs>0</Paragraphs>
  <TotalTime>32</TotalTime>
  <ScaleCrop>false</ScaleCrop>
  <LinksUpToDate>false</LinksUpToDate>
  <CharactersWithSpaces>6754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2023-07-12T08:30:00Z</dcterms:created>
  <dc:creator>曦曦</dc:creator>
  <cp:lastModifiedBy>张志超</cp:lastModifiedBy>
  <cp:lastPrinted>2024-07-02T02:44:00Z</cp:lastPrinted>
  <dcterms:modified xsi:type="dcterms:W3CDTF">2024-09-24T07:36:24Z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E8C8CEBCBFE34605B9AD37386D8EC960_13</vt:lpwstr>
  </property>
</Properties>
</file>