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ind w:firstLine="463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重症精神病人补助                     </w:t>
      </w:r>
    </w:p>
    <w:p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岳阳市云溪区疾病预防控制中心         </w:t>
      </w:r>
    </w:p>
    <w:p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云溪区</w:t>
      </w:r>
      <w:bookmarkStart w:id="2" w:name="_GoBack"/>
      <w:bookmarkEnd w:id="2"/>
      <w:r>
        <w:rPr>
          <w:rFonts w:hint="eastAsia" w:eastAsia="仿宋_GB2312"/>
          <w:sz w:val="32"/>
          <w:u w:val="single"/>
          <w:lang w:eastAsia="zh-CN"/>
        </w:rPr>
        <w:t>卫健局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348" w:lineRule="auto"/>
        <w:ind w:firstLine="473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348" w:lineRule="auto"/>
        <w:ind w:firstLine="413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报告日期：2019 年 6月 16 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jc w:val="center"/>
        <w:rPr>
          <w:rFonts w:eastAsia="仿宋_GB2312"/>
          <w:b/>
          <w:sz w:val="24"/>
        </w:rPr>
        <w:sectPr>
          <w:footerReference r:id="rId3" w:type="default"/>
          <w:pgSz w:w="11906" w:h="16838"/>
          <w:pgMar w:top="1588" w:right="1361" w:bottom="1588" w:left="1361" w:header="851" w:footer="851" w:gutter="0"/>
          <w:pgNumType w:fmt="numberInDash" w:start="1"/>
          <w:cols w:space="720" w:num="1"/>
          <w:docGrid w:type="linesAndChars" w:linePitch="602" w:charSpace="-1205"/>
        </w:sectPr>
      </w:pPr>
    </w:p>
    <w:tbl>
      <w:tblPr>
        <w:tblStyle w:val="5"/>
        <w:tblW w:w="92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816"/>
        <w:gridCol w:w="1395"/>
        <w:gridCol w:w="150"/>
        <w:gridCol w:w="810"/>
        <w:gridCol w:w="120"/>
        <w:gridCol w:w="1260"/>
        <w:gridCol w:w="150"/>
        <w:gridCol w:w="639"/>
        <w:gridCol w:w="6"/>
        <w:gridCol w:w="120"/>
        <w:gridCol w:w="156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63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戴忠良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45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18073005111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145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2"/>
            <w:vAlign w:val="center"/>
          </w:tcPr>
          <w:p>
            <w:pPr>
              <w:ind w:firstLine="308" w:firstLineChars="1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  1 月起至  2019 年   12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59.28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59.28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6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其中中央财政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59.28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59.28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6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培训费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0.13万元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2019年2月22号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2019年2月34号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专家评估劳务费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ind w:firstLine="205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0.2万元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2019年2月39号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重症精神病人保险费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7.41万元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2019年3月16号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重症精神病人补贴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50.76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2019年9月13号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培训费、资料费、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0.22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2019年11月14号、2019年12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18号、2019年12月39号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专家劳务费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0.20万元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2020年1月20号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重症精神病人保险费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0.36万元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2020年1月34号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59.28万元</w:t>
            </w:r>
          </w:p>
        </w:tc>
        <w:tc>
          <w:tcPr>
            <w:tcW w:w="31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  <w:sectPr>
          <w:footerReference r:id="rId4" w:type="default"/>
          <w:pgSz w:w="11906" w:h="16838"/>
          <w:pgMar w:top="1588" w:right="1361" w:bottom="1588" w:left="1361" w:header="851" w:footer="851" w:gutter="0"/>
          <w:pgNumType w:fmt="numberInDash"/>
          <w:cols w:space="720" w:num="1"/>
          <w:docGrid w:type="linesAndChars" w:linePitch="602" w:charSpace="-1205"/>
        </w:sectPr>
      </w:pPr>
    </w:p>
    <w:tbl>
      <w:tblPr>
        <w:tblStyle w:val="5"/>
        <w:tblW w:w="92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16"/>
        <w:gridCol w:w="151"/>
        <w:gridCol w:w="1216"/>
        <w:gridCol w:w="968"/>
        <w:gridCol w:w="831"/>
        <w:gridCol w:w="929"/>
        <w:gridCol w:w="222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26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33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对重症精神病人加强管理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247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bookmarkStart w:id="0" w:name="OLE_LINK2"/>
            <w:r>
              <w:rPr>
                <w:rFonts w:hint="eastAsia" w:eastAsia="仿宋_GB2312"/>
                <w:szCs w:val="21"/>
              </w:rPr>
              <w:t>是否完成</w:t>
            </w:r>
            <w:bookmarkEnd w:id="0"/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时效指标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2019年12月底前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69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59"/>
              </w:tabs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59.28万元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59.29万元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是否完成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是否产生社效益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群众是否</w:t>
            </w:r>
            <w:bookmarkStart w:id="1" w:name="OLE_LINK3"/>
            <w:r>
              <w:rPr>
                <w:rFonts w:hint="eastAsia" w:eastAsia="仿宋_GB2312"/>
                <w:szCs w:val="21"/>
              </w:rPr>
              <w:t>满意</w:t>
            </w:r>
            <w:bookmarkEnd w:id="1"/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2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9263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戴忠良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副主任医师/主任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疾控中心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gridSpan w:val="2"/>
            <w:vAlign w:val="center"/>
          </w:tcPr>
          <w:p>
            <w:pPr>
              <w:ind w:firstLine="615" w:firstLineChars="3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方小容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主治医师/副主任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疾控中心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63" w:type="dxa"/>
            <w:gridSpan w:val="9"/>
          </w:tcPr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ind w:firstLine="4715" w:firstLineChars="23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63" w:type="dxa"/>
            <w:gridSpan w:val="9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63" w:type="dxa"/>
            <w:gridSpan w:val="9"/>
          </w:tcPr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63" w:type="dxa"/>
            <w:gridSpan w:val="9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陈会群               联系电话：13873018629</w:t>
      </w:r>
    </w:p>
    <w:tbl>
      <w:tblPr>
        <w:tblStyle w:val="5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8" w:hRule="atLeast"/>
          <w:jc w:val="center"/>
        </w:trPr>
        <w:tc>
          <w:tcPr>
            <w:tcW w:w="8947" w:type="dxa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ind w:firstLine="435" w:firstLineChars="100"/>
              <w:jc w:val="center"/>
              <w:rPr>
                <w:rFonts w:ascii="宋体" w:hAnsi="宋体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44"/>
                <w:szCs w:val="44"/>
              </w:rPr>
              <w:t>2019年云溪区疾控中心专项资金支出</w:t>
            </w:r>
          </w:p>
          <w:p>
            <w:pPr>
              <w:spacing w:line="560" w:lineRule="exact"/>
              <w:ind w:firstLine="435" w:firstLineChars="100"/>
              <w:jc w:val="center"/>
              <w:rPr>
                <w:rFonts w:ascii="宋体" w:hAnsi="宋体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44"/>
                <w:szCs w:val="44"/>
              </w:rPr>
              <w:t>绩效评价报告</w:t>
            </w:r>
          </w:p>
          <w:p>
            <w:pPr>
              <w:spacing w:line="560" w:lineRule="exact"/>
              <w:ind w:firstLine="295" w:firstLineChars="100"/>
              <w:jc w:val="center"/>
              <w:rPr>
                <w:rFonts w:ascii="宋体" w:hAnsi="宋体" w:cs="仿宋_GB2312"/>
                <w:b/>
                <w:color w:val="3C3C3C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3C3C3C"/>
                <w:sz w:val="30"/>
                <w:szCs w:val="30"/>
              </w:rPr>
              <w:t>（重症精神病人专项补助）</w:t>
            </w:r>
          </w:p>
          <w:p>
            <w:pPr>
              <w:spacing w:line="560" w:lineRule="exact"/>
              <w:ind w:firstLine="590" w:firstLineChars="200"/>
              <w:rPr>
                <w:rFonts w:ascii="宋体" w:hAnsi="宋体" w:cs="仿宋_GB2312"/>
                <w:color w:val="3C3C3C"/>
                <w:sz w:val="30"/>
                <w:szCs w:val="30"/>
              </w:rPr>
            </w:pPr>
          </w:p>
          <w:p>
            <w:pPr>
              <w:spacing w:line="560" w:lineRule="exact"/>
              <w:ind w:firstLine="791" w:firstLineChars="251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2012年10月26日，我国第一部与精神疾病有关的法律《中华人民共和国精神卫生法》颁布，并于2013年5月1日起施行。2014年我省出台“为民办实事重性精神病患者救治救助工程”项目，各级政府投入1.45亿元救治救助重性精神病患者5000人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近几年，云溪疾控中心按照严重精神障碍患者管理工作要求，认真落实全区严重精神障碍患者管理项目工作，不断完善严重精神障碍患者防治网络管理体系，提高严重精神障碍患者管理质量和服务水平，极大地减少了患者肇事肇祸案（事）件的发生，严重精神障碍患者防治管理工作取得了明显成效。现将工作开展情况汇报如下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cs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基本情况</w:t>
            </w:r>
          </w:p>
          <w:p>
            <w:pPr>
              <w:spacing w:line="560" w:lineRule="exact"/>
              <w:ind w:firstLine="63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在国家严重精神障碍信息系统上，云溪辖区内登记居民总数为176603人。截至2019年12月31日，云溪区累计录入精神障碍患者785人，死亡67人，目前在册管理773人，报告患病率为4.2‰在册规范管理773人，管理率99.49%，规范管理人数有752例，，规范管理率97.29%，服药人数768例，在册患者服药率99.35%。落实了严重精神障碍患者监护人“以奖代补”政策，扎实做好重性精神病发现管理，巩固提升患者规范管理和治疗率。</w:t>
            </w:r>
          </w:p>
          <w:p>
            <w:pPr>
              <w:spacing w:line="560" w:lineRule="exact"/>
              <w:ind w:firstLine="63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二．</w:t>
            </w: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救治救助管理情况</w:t>
            </w:r>
          </w:p>
          <w:p>
            <w:pPr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我区的严重精神障碍患者救治救助管理工作，在区委区政府的高度重视以及社保、民政、财政、公安等部门的大力支持和各乡镇政府及其社区村委会的通力配合下，由区卫健局牵头，广泛宣传救治救助政策，对重性精神疾病患者进行了全方位救治救助。一是动员患者家属送病人到定点医院接受治疗，治疗费用纳入新农合或城镇医保报销；二是民政部门对生活困难的患者给予临时困难补助和医疗救助；三是卫生部门严格落实省政府“重点民生实事项目”工作。</w:t>
            </w:r>
          </w:p>
          <w:p>
            <w:pPr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根据云溪区综治办、卫计局、公安分局、财政局、民政局、残联等部门联合下发“关于印发《云溪区肇事肇祸严重精神障碍患者监护和救助救治管理办法》的通知”（岳云综治办[2017]6号）要求，为进一步掌握全区严重精神障碍患者的基本情况，摸清全区肇事肇祸严重精神患者底子，区综治办于2018年11月15日下发“关于对全区严重精神障碍患者进行风险评估的通知”，成立了云溪区严重精神障碍患者风险评估领导小组，由区政法委副书记、区综治办主任邓新刚任组长，区卫计局副局长李丹任副组长，区卫计局、区公安分局、区民政局、区残联为成员责任单位，通过对区内严重精神障碍患者的风险评估，以此确定2019年云溪区“以奖代补”名单247人，按照每人每年2400元的标准补贴看护管理经费，区财政已经拨付59.28万元，由我中心依据各镇（街道）实际患者人数拨付到位，再由各镇（街道）分别发放到患者个人，有效减轻了患者家庭的经济负担，缓解了因精神病人肇事肇祸带来不稳定因素的压力，最大限度预防和减少肇事肇祸事件的发生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cs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>存在的问题与不足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一是部分重性精神疾病患者家属不重视不配合，对治疗效果信心不大，担心浪费时间和资金达不到治疗效果，影响家庭生产劳动和经济收入，态度消极。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二是个别家庭经济特别困难，无法承担住院治疗期间的生活费、交通费和其它必要费用，协调难度较大。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三是定点医疗机构单一，不能完全满足精神病患者及其监护人的选择需求，且费用偏高。因我区没有精神病专科医院，病人只能选择到市康复医院接受治疗，部分病人反映费用偏高，特别是需要长期住院治疗的重性精神病患者，根本无力承担昂贵的医疗费用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四是精神病专科医疗资源严重不足，我区没有专科医院也没有注册的精神科医生和护士，对精神疾病的诊断、治疗处于空白状态。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五是精神病人出院后缺乏稳定持续的治疗和康复训练，治疗效果难以巩固，容易复发。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b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sz w:val="32"/>
                <w:szCs w:val="32"/>
              </w:rPr>
              <w:t>四</w:t>
            </w:r>
            <w:r>
              <w:rPr>
                <w:rFonts w:hint="eastAsia" w:ascii="宋体" w:hAnsi="宋体" w:cs="仿宋"/>
                <w:b/>
                <w:bCs/>
                <w:sz w:val="32"/>
                <w:szCs w:val="32"/>
              </w:rPr>
              <w:t xml:space="preserve">、工作建议 </w:t>
            </w:r>
            <w:r>
              <w:rPr>
                <w:rFonts w:hint="eastAsia" w:ascii="宋体" w:hAnsi="宋体" w:cs="仿宋"/>
                <w:b/>
                <w:sz w:val="32"/>
                <w:szCs w:val="32"/>
              </w:rPr>
              <w:t xml:space="preserve">                                   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一是加强对精神病患者消除歧视的宣传，体现社会对精神病人的关心，尤其是病人家属对患者的关爱，对符合住院治疗条件的病人要动员监护人送患者住院治疗。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二是对精神病人家庭经济状况进行全面调查，对特别困难的家庭设定特殊审批程序，对在住院期间的医药费按政策报销以外，对其生活费、交通费之类开支予以适当补贴，特事特办。确保不发生关锁、流浪病人，以充分体现党和政府的关心和关怀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三是尊重患者家属的选择权，将定点医院从现在的单一一家增加至两家或更多家，有助于激发医疗机构的竞争意识，提高服务质量和医疗水平，降低病人住院费用。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四是在条件允许情况下，向上级申报设立精神病医院，引进精神卫生类医护人员，填补精神卫生医疗服务这一空白。</w:t>
            </w:r>
          </w:p>
          <w:p>
            <w:pPr>
              <w:spacing w:line="560" w:lineRule="exact"/>
              <w:ind w:firstLine="630" w:firstLineChars="20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>五是成立康复护理中心，对没有条件监护的病人统一进行监护管理，为精神病人提供康复、培训、护理等，帮助其创造条件重返社会。</w:t>
            </w:r>
          </w:p>
          <w:p>
            <w:pPr>
              <w:tabs>
                <w:tab w:val="left" w:pos="5226"/>
              </w:tabs>
              <w:spacing w:line="560" w:lineRule="exact"/>
              <w:jc w:val="left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hint="eastAsia" w:ascii="宋体" w:hAnsi="宋体" w:cs="仿宋"/>
                <w:sz w:val="32"/>
                <w:szCs w:val="32"/>
              </w:rPr>
              <w:tab/>
            </w:r>
          </w:p>
          <w:p>
            <w:pPr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sectPr>
      <w:footerReference r:id="rId5" w:type="default"/>
      <w:pgSz w:w="11906" w:h="16838"/>
      <w:pgMar w:top="1588" w:right="1361" w:bottom="1588" w:left="1361" w:header="851" w:footer="851" w:gutter="0"/>
      <w:pgNumType w:fmt="numberInDash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80" o:spid="_x0000_s3080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8" o:spid="_x0000_s3078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3079" o:spid="_x0000_s307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F6DE7"/>
    <w:multiLevelType w:val="multilevel"/>
    <w:tmpl w:val="281F6DE7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1YTAwMDczYjY1N2QwMWRkOTJkMmFmZTU5MzlkOGQifQ=="/>
  </w:docVars>
  <w:rsids>
    <w:rsidRoot w:val="309F6611"/>
    <w:rsid w:val="000478D1"/>
    <w:rsid w:val="00077BC0"/>
    <w:rsid w:val="00094A27"/>
    <w:rsid w:val="000A3889"/>
    <w:rsid w:val="000E40A8"/>
    <w:rsid w:val="001057BA"/>
    <w:rsid w:val="0016103A"/>
    <w:rsid w:val="001C688A"/>
    <w:rsid w:val="002329F1"/>
    <w:rsid w:val="00252149"/>
    <w:rsid w:val="002616EA"/>
    <w:rsid w:val="002B1AEB"/>
    <w:rsid w:val="002B2EB5"/>
    <w:rsid w:val="002B6002"/>
    <w:rsid w:val="002C03EF"/>
    <w:rsid w:val="002C6F31"/>
    <w:rsid w:val="003622F6"/>
    <w:rsid w:val="00443F4C"/>
    <w:rsid w:val="004753BC"/>
    <w:rsid w:val="004F1B3D"/>
    <w:rsid w:val="005459F7"/>
    <w:rsid w:val="005A22C9"/>
    <w:rsid w:val="005E431D"/>
    <w:rsid w:val="005E68BC"/>
    <w:rsid w:val="00604D7A"/>
    <w:rsid w:val="006E469A"/>
    <w:rsid w:val="0074767E"/>
    <w:rsid w:val="00805A3D"/>
    <w:rsid w:val="00847859"/>
    <w:rsid w:val="00873ECB"/>
    <w:rsid w:val="00917291"/>
    <w:rsid w:val="00920D08"/>
    <w:rsid w:val="0094320C"/>
    <w:rsid w:val="00950AD4"/>
    <w:rsid w:val="00952038"/>
    <w:rsid w:val="0096637B"/>
    <w:rsid w:val="00980B97"/>
    <w:rsid w:val="009B7B3F"/>
    <w:rsid w:val="009D0F23"/>
    <w:rsid w:val="009F6206"/>
    <w:rsid w:val="00A21137"/>
    <w:rsid w:val="00AB1358"/>
    <w:rsid w:val="00B653A8"/>
    <w:rsid w:val="00B83FB9"/>
    <w:rsid w:val="00C15FC7"/>
    <w:rsid w:val="00C36D9C"/>
    <w:rsid w:val="00D30703"/>
    <w:rsid w:val="00DC0E8E"/>
    <w:rsid w:val="00E37E15"/>
    <w:rsid w:val="00E86F6D"/>
    <w:rsid w:val="00EC0D6B"/>
    <w:rsid w:val="00F637A9"/>
    <w:rsid w:val="00F97586"/>
    <w:rsid w:val="00FE3DF3"/>
    <w:rsid w:val="03291966"/>
    <w:rsid w:val="0EFD768C"/>
    <w:rsid w:val="2F4E22D1"/>
    <w:rsid w:val="309F6611"/>
    <w:rsid w:val="31005A29"/>
    <w:rsid w:val="3F696872"/>
    <w:rsid w:val="434F0D1C"/>
    <w:rsid w:val="52081259"/>
    <w:rsid w:val="5C735AA4"/>
    <w:rsid w:val="6D535020"/>
    <w:rsid w:val="6DA65D48"/>
    <w:rsid w:val="7BF90AB3"/>
    <w:rsid w:val="7DBE764F"/>
    <w:rsid w:val="7EC1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7"/>
    <customShpInfo spid="_x0000_s3073"/>
    <customShpInfo spid="_x0000_s3080"/>
    <customShpInfo spid="_x0000_s3076"/>
    <customShpInfo spid="_x0000_s3078"/>
    <customShpInfo spid="_x0000_s3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2629</Words>
  <Characters>2856</Characters>
  <Lines>26</Lines>
  <Paragraphs>7</Paragraphs>
  <TotalTime>8</TotalTime>
  <ScaleCrop>false</ScaleCrop>
  <LinksUpToDate>false</LinksUpToDate>
  <CharactersWithSpaces>3444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2020-06-16T08:08:00Z</dcterms:created>
  <dc:creator>Administrator</dc:creator>
  <cp:lastModifiedBy>张志超</cp:lastModifiedBy>
  <cp:lastPrinted>2020-06-16T04:20:00Z</cp:lastPrinted>
  <dcterms:modified xsi:type="dcterms:W3CDTF">2023-11-17T06:10:54Z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2684E1D179E94FC0AF1291F70CE6D860_12</vt:lpwstr>
  </property>
</Properties>
</file>