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eastAsia" w:ascii="楷体_GB2312" w:hAnsi="宋体" w:eastAsia="楷体_GB2312"/>
          <w:b/>
          <w:sz w:val="32"/>
          <w:szCs w:val="32"/>
        </w:rPr>
      </w:pPr>
      <w:bookmarkStart w:id="0" w:name="_GoBack"/>
      <w:bookmarkEnd w:id="0"/>
    </w:p>
    <w:p>
      <w:pPr>
        <w:spacing w:line="1200" w:lineRule="exact"/>
        <w:ind w:firstLine="1285" w:firstLineChars="400"/>
        <w:rPr>
          <w:rFonts w:hint="default" w:ascii="楷体_GB2312" w:hAnsi="宋体" w:eastAsia="楷体_GB2312"/>
          <w:b/>
          <w:sz w:val="32"/>
          <w:szCs w:val="32"/>
          <w:lang w:val="en-US" w:eastAsia="zh-CN"/>
        </w:rPr>
      </w:pPr>
      <w:r>
        <w:rPr>
          <w:rFonts w:hint="eastAsia" w:ascii="楷体_GB2312" w:hAnsi="宋体" w:eastAsia="楷体_GB2312"/>
          <w:b/>
          <w:sz w:val="32"/>
          <w:szCs w:val="32"/>
          <w:lang w:eastAsia="zh-CN"/>
        </w:rPr>
        <w:t>岳阳市云溪区污水处理厂</w:t>
      </w:r>
      <w:r>
        <w:rPr>
          <w:rFonts w:hint="eastAsia" w:ascii="楷体_GB2312" w:hAnsi="宋体" w:eastAsia="楷体_GB2312"/>
          <w:b/>
          <w:sz w:val="32"/>
          <w:szCs w:val="32"/>
          <w:lang w:val="en-US" w:eastAsia="zh-CN"/>
        </w:rPr>
        <w:t>建设</w:t>
      </w:r>
      <w:r>
        <w:rPr>
          <w:rFonts w:hint="eastAsia" w:ascii="楷体_GB2312" w:hAnsi="宋体" w:eastAsia="楷体_GB2312"/>
          <w:b/>
          <w:sz w:val="32"/>
          <w:szCs w:val="32"/>
          <w:lang w:val="en-US" w:eastAsia="zh-CN"/>
        </w:rPr>
        <w:t>专项债券</w:t>
      </w:r>
      <w:r>
        <w:rPr>
          <w:rFonts w:hint="eastAsia" w:ascii="楷体_GB2312" w:hAnsi="宋体" w:eastAsia="楷体_GB2312"/>
          <w:b/>
          <w:sz w:val="32"/>
          <w:szCs w:val="32"/>
          <w:lang w:eastAsia="zh-CN"/>
        </w:rPr>
        <w:t>项目</w:t>
      </w:r>
    </w:p>
    <w:p>
      <w:pPr>
        <w:spacing w:line="1200" w:lineRule="exact"/>
        <w:ind w:firstLine="1027" w:firstLineChars="100"/>
        <w:rPr>
          <w:rFonts w:ascii="楷体_GB2312" w:hAnsi="宋体" w:eastAsia="楷体_GB2312"/>
          <w:b/>
          <w:bCs/>
          <w:spacing w:val="152"/>
          <w:sz w:val="72"/>
          <w:szCs w:val="72"/>
        </w:rPr>
      </w:pPr>
      <w:r>
        <w:rPr>
          <w:rFonts w:hint="eastAsia" w:ascii="楷体_GB2312" w:hAnsi="宋体" w:eastAsia="楷体_GB2312"/>
          <w:b/>
          <w:bCs/>
          <w:spacing w:val="152"/>
          <w:sz w:val="72"/>
          <w:szCs w:val="72"/>
        </w:rPr>
        <w:t>绩效评价报告书</w:t>
      </w:r>
    </w:p>
    <w:p>
      <w:pPr>
        <w:spacing w:line="760" w:lineRule="exact"/>
        <w:jc w:val="center"/>
        <w:outlineLvl w:val="0"/>
        <w:rPr>
          <w:rFonts w:ascii="楷体_GB2312" w:hAnsi="宋体" w:eastAsia="楷体_GB2312"/>
          <w:b/>
          <w:bCs/>
          <w:sz w:val="32"/>
          <w:szCs w:val="32"/>
        </w:rPr>
      </w:pPr>
      <w:r>
        <w:rPr>
          <w:rFonts w:hint="eastAsia" w:ascii="楷体_GB2312" w:hAnsi="宋体" w:eastAsia="楷体_GB2312"/>
          <w:b/>
          <w:bCs/>
          <w:sz w:val="32"/>
          <w:szCs w:val="32"/>
        </w:rPr>
        <w:t>湘恒兴专审字（20</w:t>
      </w:r>
      <w:r>
        <w:rPr>
          <w:rFonts w:hint="eastAsia" w:ascii="楷体_GB2312" w:hAnsi="宋体" w:eastAsia="楷体_GB2312"/>
          <w:b/>
          <w:bCs/>
          <w:sz w:val="32"/>
          <w:szCs w:val="32"/>
          <w:lang w:val="en-US" w:eastAsia="zh-CN"/>
        </w:rPr>
        <w:t>21</w:t>
      </w:r>
      <w:r>
        <w:rPr>
          <w:rFonts w:hint="eastAsia" w:ascii="楷体_GB2312" w:hAnsi="宋体" w:eastAsia="楷体_GB2312"/>
          <w:b/>
          <w:bCs/>
          <w:sz w:val="32"/>
          <w:szCs w:val="32"/>
        </w:rPr>
        <w:t>）第0</w:t>
      </w:r>
      <w:r>
        <w:rPr>
          <w:rFonts w:hint="eastAsia" w:ascii="楷体_GB2312" w:hAnsi="宋体" w:eastAsia="楷体_GB2312"/>
          <w:b/>
          <w:bCs/>
          <w:sz w:val="32"/>
          <w:szCs w:val="32"/>
          <w:lang w:val="en-US" w:eastAsia="zh-CN"/>
        </w:rPr>
        <w:t>49</w:t>
      </w:r>
      <w:r>
        <w:rPr>
          <w:rFonts w:hint="eastAsia" w:ascii="楷体_GB2312" w:hAnsi="宋体" w:eastAsia="楷体_GB2312"/>
          <w:b/>
          <w:bCs/>
          <w:sz w:val="32"/>
          <w:szCs w:val="32"/>
        </w:rPr>
        <w:t>号</w:t>
      </w:r>
    </w:p>
    <w:p>
      <w:pPr>
        <w:spacing w:line="760" w:lineRule="exact"/>
        <w:jc w:val="center"/>
        <w:rPr>
          <w:rFonts w:ascii="楷体_GB2312" w:hAnsi="宋体" w:eastAsia="楷体_GB2312"/>
          <w:b/>
          <w:bCs/>
        </w:rPr>
      </w:pPr>
    </w:p>
    <w:p>
      <w:pPr>
        <w:spacing w:line="760" w:lineRule="exact"/>
        <w:jc w:val="center"/>
        <w:rPr>
          <w:rFonts w:ascii="楷体_GB2312" w:hAnsi="宋体" w:eastAsia="楷体_GB2312"/>
          <w:b/>
          <w:bCs/>
        </w:rPr>
      </w:pPr>
    </w:p>
    <w:p>
      <w:pPr>
        <w:spacing w:line="760" w:lineRule="exact"/>
        <w:jc w:val="center"/>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outlineLvl w:val="0"/>
        <w:rPr>
          <w:rFonts w:ascii="楷体_GB2312" w:hAnsi="宋体" w:eastAsia="楷体_GB2312"/>
          <w:b/>
          <w:bCs/>
        </w:rPr>
      </w:pPr>
    </w:p>
    <w:p>
      <w:pPr>
        <w:spacing w:line="760" w:lineRule="exact"/>
        <w:jc w:val="center"/>
        <w:outlineLvl w:val="0"/>
        <w:rPr>
          <w:rFonts w:hint="default" w:ascii="楷体_GB2312" w:hAnsi="宋体" w:eastAsia="楷体_GB2312"/>
          <w:b/>
          <w:bCs/>
          <w:spacing w:val="40"/>
          <w:sz w:val="30"/>
          <w:szCs w:val="30"/>
          <w:lang w:val="en-US" w:eastAsia="zh-CN"/>
        </w:rPr>
      </w:pPr>
      <w:r>
        <w:rPr>
          <w:rFonts w:hint="eastAsia" w:ascii="楷体_GB2312" w:hAnsi="宋体" w:eastAsia="楷体_GB2312"/>
          <w:b/>
          <w:bCs/>
          <w:spacing w:val="40"/>
          <w:sz w:val="32"/>
          <w:szCs w:val="32"/>
          <w:lang w:val="en-US" w:eastAsia="zh-CN"/>
        </w:rPr>
        <w:t xml:space="preserve">  </w:t>
      </w:r>
      <w:r>
        <w:rPr>
          <w:rFonts w:hint="eastAsia" w:ascii="楷体_GB2312" w:hAnsi="宋体" w:eastAsia="楷体_GB2312"/>
          <w:b/>
          <w:bCs/>
          <w:spacing w:val="40"/>
          <w:sz w:val="32"/>
          <w:szCs w:val="32"/>
        </w:rPr>
        <w:t>湖南恒兴联合会计师事务所</w:t>
      </w:r>
      <w:r>
        <w:rPr>
          <w:rFonts w:hint="eastAsia" w:ascii="楷体_GB2312" w:hAnsi="宋体" w:eastAsia="楷体_GB2312"/>
          <w:b/>
          <w:bCs/>
          <w:spacing w:val="40"/>
          <w:sz w:val="30"/>
          <w:szCs w:val="30"/>
          <w:lang w:eastAsia="zh-CN"/>
        </w:rPr>
        <w:t>（</w:t>
      </w:r>
      <w:r>
        <w:rPr>
          <w:rFonts w:hint="eastAsia" w:ascii="楷体_GB2312" w:hAnsi="宋体" w:eastAsia="楷体_GB2312"/>
          <w:b/>
          <w:bCs/>
          <w:spacing w:val="40"/>
          <w:sz w:val="30"/>
          <w:szCs w:val="30"/>
          <w:lang w:val="en-US" w:eastAsia="zh-CN"/>
        </w:rPr>
        <w:t>普通合伙）</w:t>
      </w:r>
    </w:p>
    <w:p>
      <w:pPr>
        <w:spacing w:line="760" w:lineRule="exact"/>
        <w:jc w:val="center"/>
        <w:rPr>
          <w:rFonts w:ascii="楷体_GB2312" w:hAnsi="宋体" w:eastAsia="楷体_GB2312"/>
          <w:b/>
          <w:bCs/>
          <w:sz w:val="32"/>
          <w:szCs w:val="32"/>
        </w:rPr>
      </w:pPr>
      <w:r>
        <w:rPr>
          <w:rFonts w:hint="eastAsia" w:ascii="楷体_GB2312" w:hAnsi="宋体" w:eastAsia="楷体_GB2312"/>
          <w:b/>
          <w:bCs/>
          <w:sz w:val="32"/>
          <w:szCs w:val="32"/>
        </w:rPr>
        <w:t>二0</w:t>
      </w:r>
      <w:r>
        <w:rPr>
          <w:rFonts w:hint="eastAsia" w:ascii="楷体_GB2312" w:hAnsi="宋体" w:eastAsia="楷体_GB2312"/>
          <w:b/>
          <w:bCs/>
          <w:sz w:val="32"/>
          <w:szCs w:val="32"/>
          <w:lang w:val="en-US" w:eastAsia="zh-CN"/>
        </w:rPr>
        <w:t>二一</w:t>
      </w:r>
      <w:r>
        <w:rPr>
          <w:rFonts w:hint="eastAsia" w:ascii="楷体_GB2312" w:hAnsi="宋体" w:eastAsia="楷体_GB2312"/>
          <w:b/>
          <w:bCs/>
          <w:sz w:val="32"/>
          <w:szCs w:val="32"/>
        </w:rPr>
        <w:t>年</w:t>
      </w:r>
      <w:r>
        <w:rPr>
          <w:rFonts w:hint="eastAsia" w:ascii="楷体_GB2312" w:hAnsi="宋体" w:eastAsia="楷体_GB2312"/>
          <w:b/>
          <w:bCs/>
          <w:sz w:val="32"/>
          <w:szCs w:val="32"/>
          <w:lang w:val="en-US" w:eastAsia="zh-CN"/>
        </w:rPr>
        <w:t>十</w:t>
      </w:r>
      <w:r>
        <w:rPr>
          <w:rFonts w:hint="eastAsia" w:ascii="楷体_GB2312" w:hAnsi="宋体" w:eastAsia="楷体_GB2312"/>
          <w:b/>
          <w:bCs/>
          <w:sz w:val="32"/>
          <w:szCs w:val="32"/>
        </w:rPr>
        <w:t>月</w:t>
      </w:r>
    </w:p>
    <w:p>
      <w:pPr>
        <w:spacing w:line="760" w:lineRule="exact"/>
        <w:ind w:firstLine="1446" w:firstLineChars="400"/>
        <w:jc w:val="both"/>
        <w:outlineLvl w:val="0"/>
        <w:rPr>
          <w:rFonts w:hint="eastAsia" w:ascii="黑体" w:hAnsi="黑体" w:eastAsia="黑体"/>
          <w:b/>
          <w:bCs/>
          <w:sz w:val="36"/>
          <w:szCs w:val="36"/>
        </w:rPr>
        <w:sectPr>
          <w:headerReference r:id="rId4" w:type="first"/>
          <w:headerReference r:id="rId3" w:type="default"/>
          <w:pgSz w:w="11906" w:h="16838"/>
          <w:pgMar w:top="1440" w:right="1644" w:bottom="1247" w:left="1644"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ind w:firstLine="3534" w:firstLineChars="1100"/>
        <w:textAlignment w:val="auto"/>
        <w:rPr>
          <w:rFonts w:hint="eastAsia" w:ascii="宋体" w:hAnsi="宋体" w:eastAsia="宋体" w:cs="宋体"/>
          <w:b/>
          <w:sz w:val="36"/>
          <w:szCs w:val="36"/>
          <w:lang w:val="en-US" w:eastAsia="zh-CN"/>
        </w:rPr>
      </w:pPr>
      <w:r>
        <w:rPr>
          <w:rFonts w:hint="eastAsia" w:ascii="宋体" w:hAnsi="宋体" w:eastAsia="宋体" w:cs="宋体"/>
          <w:b/>
          <w:sz w:val="32"/>
          <w:szCs w:val="32"/>
        </w:rPr>
        <w:t>内容</w:t>
      </w:r>
      <w:r>
        <w:rPr>
          <w:rFonts w:hint="eastAsia" w:ascii="宋体" w:hAnsi="宋体" w:eastAsia="宋体" w:cs="宋体"/>
          <w:b/>
          <w:sz w:val="32"/>
          <w:szCs w:val="32"/>
          <w:lang w:val="en-US" w:eastAsia="zh-CN"/>
        </w:rPr>
        <w:t>简介</w:t>
      </w:r>
    </w:p>
    <w:p>
      <w:pPr>
        <w:spacing w:line="500" w:lineRule="exact"/>
        <w:rPr>
          <w:rFonts w:hint="eastAsia" w:ascii="宋体" w:hAnsi="宋体" w:eastAsia="宋体" w:cs="宋体"/>
          <w:b/>
          <w:sz w:val="24"/>
          <w:szCs w:val="24"/>
        </w:rPr>
      </w:pPr>
      <w:r>
        <w:rPr>
          <w:rFonts w:hint="eastAsia" w:ascii="宋体" w:hAnsi="宋体" w:eastAsia="宋体" w:cs="宋体"/>
          <w:b/>
          <w:sz w:val="24"/>
          <w:szCs w:val="24"/>
        </w:rPr>
        <w:t>●项目基本概况</w:t>
      </w:r>
    </w:p>
    <w:tbl>
      <w:tblPr>
        <w:tblStyle w:val="21"/>
        <w:tblW w:w="857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11"/>
        <w:gridCol w:w="991"/>
        <w:gridCol w:w="984"/>
        <w:gridCol w:w="1008"/>
        <w:gridCol w:w="1117"/>
        <w:gridCol w:w="1266"/>
        <w:gridCol w:w="1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项目名称</w:t>
            </w:r>
          </w:p>
        </w:tc>
        <w:tc>
          <w:tcPr>
            <w:tcW w:w="706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岳阳市云溪区长岭污水处理厂</w:t>
            </w:r>
            <w:r>
              <w:rPr>
                <w:rFonts w:hint="eastAsia" w:ascii="宋体" w:hAnsi="宋体" w:eastAsia="宋体" w:cs="宋体"/>
                <w:b w:val="0"/>
                <w:bCs w:val="0"/>
                <w:i w:val="0"/>
                <w:iCs w:val="0"/>
                <w:color w:val="000000"/>
                <w:kern w:val="0"/>
                <w:sz w:val="22"/>
                <w:szCs w:val="22"/>
                <w:u w:val="none"/>
                <w:lang w:val="en-US" w:eastAsia="zh-CN" w:bidi="ar"/>
              </w:rPr>
              <w:t>建设</w:t>
            </w:r>
            <w:r>
              <w:rPr>
                <w:rFonts w:hint="eastAsia" w:ascii="宋体" w:hAnsi="宋体" w:eastAsia="宋体" w:cs="宋体"/>
                <w:b w:val="0"/>
                <w:bCs w:val="0"/>
                <w:i w:val="0"/>
                <w:iCs w:val="0"/>
                <w:color w:val="000000"/>
                <w:kern w:val="0"/>
                <w:sz w:val="22"/>
                <w:szCs w:val="22"/>
                <w:u w:val="none"/>
                <w:lang w:val="en-US" w:eastAsia="zh-CN" w:bidi="ar"/>
              </w:rPr>
              <w:t>专项债券项目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1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项目业主</w:t>
            </w:r>
          </w:p>
        </w:tc>
        <w:tc>
          <w:tcPr>
            <w:tcW w:w="706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岳阳晨宇环境综合治理有限公司（2019年9月19日-2020年3月19日）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51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1"/>
                <w:szCs w:val="21"/>
                <w:u w:val="none"/>
              </w:rPr>
            </w:pPr>
          </w:p>
        </w:tc>
        <w:tc>
          <w:tcPr>
            <w:tcW w:w="706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岳阳市云溪区住房和城乡建设局（2020年3月20日以后）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5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法人代表</w:t>
            </w:r>
          </w:p>
        </w:tc>
        <w:tc>
          <w:tcPr>
            <w:tcW w:w="706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任军强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51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项目相关单位</w:t>
            </w:r>
          </w:p>
        </w:tc>
        <w:tc>
          <w:tcPr>
            <w:tcW w:w="706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建设单位：湖南和庆源建设工程有限公司（牵头方）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1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1"/>
                <w:szCs w:val="21"/>
                <w:u w:val="none"/>
              </w:rPr>
            </w:pPr>
          </w:p>
        </w:tc>
        <w:tc>
          <w:tcPr>
            <w:tcW w:w="706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          湖南博世科环保科技有限公司（成员方）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1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1"/>
                <w:szCs w:val="21"/>
                <w:u w:val="none"/>
              </w:rPr>
            </w:pPr>
          </w:p>
        </w:tc>
        <w:tc>
          <w:tcPr>
            <w:tcW w:w="706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运营单位：湖南迈青环保科技股份有限公司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5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项目建设地址</w:t>
            </w:r>
          </w:p>
        </w:tc>
        <w:tc>
          <w:tcPr>
            <w:tcW w:w="706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岳阳市云溪区路口镇南岳村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511" w:type="dxa"/>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val="0"/>
                <w:bCs w:val="0"/>
                <w:i w:val="0"/>
                <w:iCs w:val="0"/>
                <w:color w:val="000000"/>
                <w:kern w:val="0"/>
                <w:sz w:val="20"/>
                <w:szCs w:val="20"/>
                <w:u w:val="none"/>
                <w:lang w:val="en-US" w:eastAsia="zh-CN" w:bidi="ar"/>
              </w:rPr>
              <w:t>项目总投资</w:t>
            </w:r>
            <w:r>
              <w:rPr>
                <w:rFonts w:hint="eastAsia" w:ascii="宋体" w:hAnsi="宋体" w:eastAsia="宋体" w:cs="宋体"/>
                <w:b w:val="0"/>
                <w:bCs w:val="0"/>
                <w:i w:val="0"/>
                <w:iCs w:val="0"/>
                <w:color w:val="000000"/>
                <w:kern w:val="0"/>
                <w:sz w:val="18"/>
                <w:szCs w:val="18"/>
                <w:u w:val="none"/>
                <w:lang w:val="en-US" w:eastAsia="zh-CN" w:bidi="ar"/>
              </w:rPr>
              <w:t>11155.13万元</w:t>
            </w:r>
          </w:p>
        </w:tc>
        <w:tc>
          <w:tcPr>
            <w:tcW w:w="1975"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资金来源</w:t>
            </w:r>
          </w:p>
        </w:tc>
        <w:tc>
          <w:tcPr>
            <w:tcW w:w="100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资金</w:t>
            </w:r>
          </w:p>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到位</w:t>
            </w:r>
          </w:p>
        </w:tc>
        <w:tc>
          <w:tcPr>
            <w:tcW w:w="2383"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2020年</w:t>
            </w:r>
          </w:p>
        </w:tc>
        <w:tc>
          <w:tcPr>
            <w:tcW w:w="170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应付未付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9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来源</w:t>
            </w:r>
          </w:p>
        </w:tc>
        <w:tc>
          <w:tcPr>
            <w:tcW w:w="9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金额</w:t>
            </w:r>
          </w:p>
        </w:tc>
        <w:tc>
          <w:tcPr>
            <w:tcW w:w="10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金额</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实际支出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到帐资金</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结存</w:t>
            </w:r>
          </w:p>
        </w:tc>
        <w:tc>
          <w:tcPr>
            <w:tcW w:w="1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结存</w:t>
            </w:r>
          </w:p>
        </w:tc>
        <w:tc>
          <w:tcPr>
            <w:tcW w:w="1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债券资金</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MS Sans Serif" w:cs="Times New Roman"/>
                <w:b w:val="0"/>
                <w:bCs w:val="0"/>
                <w:i w:val="0"/>
                <w:iCs w:val="0"/>
                <w:color w:val="000000"/>
                <w:sz w:val="18"/>
                <w:szCs w:val="18"/>
                <w:u w:val="none"/>
              </w:rPr>
            </w:pPr>
            <w:r>
              <w:rPr>
                <w:rFonts w:hint="default" w:ascii="Times New Roman" w:hAnsi="Times New Roman" w:eastAsia="MS Sans Serif" w:cs="Times New Roman"/>
                <w:b w:val="0"/>
                <w:bCs w:val="0"/>
                <w:i w:val="0"/>
                <w:iCs w:val="0"/>
                <w:color w:val="000000"/>
                <w:kern w:val="0"/>
                <w:sz w:val="18"/>
                <w:szCs w:val="18"/>
                <w:u w:val="none"/>
                <w:lang w:val="en-US" w:eastAsia="zh-CN" w:bidi="ar"/>
              </w:rPr>
              <w:t xml:space="preserve">3,000.00 </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MS Sans Serif" w:cs="Times New Roman"/>
                <w:b w:val="0"/>
                <w:bCs w:val="0"/>
                <w:i w:val="0"/>
                <w:iCs w:val="0"/>
                <w:color w:val="000000"/>
                <w:sz w:val="18"/>
                <w:szCs w:val="18"/>
                <w:u w:val="none"/>
              </w:rPr>
            </w:pPr>
            <w:r>
              <w:rPr>
                <w:rFonts w:hint="default" w:ascii="Times New Roman" w:hAnsi="Times New Roman" w:eastAsia="MS Sans Serif" w:cs="Times New Roman"/>
                <w:b w:val="0"/>
                <w:bCs w:val="0"/>
                <w:i w:val="0"/>
                <w:iCs w:val="0"/>
                <w:color w:val="000000"/>
                <w:kern w:val="0"/>
                <w:sz w:val="18"/>
                <w:szCs w:val="18"/>
                <w:u w:val="none"/>
                <w:lang w:val="en-US" w:eastAsia="zh-CN" w:bidi="ar"/>
              </w:rPr>
              <w:t xml:space="preserve">3,000.00 </w:t>
            </w:r>
          </w:p>
        </w:tc>
        <w:tc>
          <w:tcPr>
            <w:tcW w:w="11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MS Sans Serif" w:cs="Times New Roman"/>
                <w:b w:val="0"/>
                <w:bCs w:val="0"/>
                <w:i w:val="0"/>
                <w:iCs w:val="0"/>
                <w:color w:val="000000"/>
                <w:sz w:val="18"/>
                <w:szCs w:val="18"/>
                <w:u w:val="none"/>
              </w:rPr>
            </w:pPr>
            <w:r>
              <w:rPr>
                <w:rFonts w:hint="default" w:ascii="Times New Roman" w:hAnsi="Times New Roman" w:eastAsia="MS Sans Serif" w:cs="Times New Roman"/>
                <w:b w:val="0"/>
                <w:bCs w:val="0"/>
                <w:i w:val="0"/>
                <w:iCs w:val="0"/>
                <w:color w:val="000000"/>
                <w:kern w:val="0"/>
                <w:sz w:val="18"/>
                <w:szCs w:val="18"/>
                <w:u w:val="none"/>
                <w:lang w:val="en-US" w:eastAsia="zh-CN" w:bidi="ar"/>
              </w:rPr>
              <w:t xml:space="preserve">6,901.13 </w:t>
            </w:r>
          </w:p>
        </w:tc>
        <w:tc>
          <w:tcPr>
            <w:tcW w:w="12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MS Sans Serif" w:cs="Times New Roman"/>
                <w:b w:val="0"/>
                <w:bCs w:val="0"/>
                <w:i w:val="0"/>
                <w:iCs w:val="0"/>
                <w:color w:val="000000"/>
                <w:sz w:val="18"/>
                <w:szCs w:val="18"/>
                <w:u w:val="none"/>
              </w:rPr>
            </w:pPr>
            <w:r>
              <w:rPr>
                <w:rFonts w:hint="default" w:ascii="Times New Roman" w:hAnsi="Times New Roman" w:eastAsia="MS Sans Serif" w:cs="Times New Roman"/>
                <w:b w:val="0"/>
                <w:bCs w:val="0"/>
                <w:i w:val="0"/>
                <w:iCs w:val="0"/>
                <w:color w:val="000000"/>
                <w:kern w:val="0"/>
                <w:sz w:val="18"/>
                <w:szCs w:val="18"/>
                <w:u w:val="none"/>
                <w:lang w:val="en-US" w:eastAsia="zh-CN" w:bidi="ar"/>
              </w:rPr>
              <w:t xml:space="preserve">2,493.87 </w:t>
            </w:r>
          </w:p>
        </w:tc>
        <w:tc>
          <w:tcPr>
            <w:tcW w:w="1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MS Sans Serif" w:cs="Times New Roman"/>
                <w:b w:val="0"/>
                <w:bCs w:val="0"/>
                <w:i w:val="0"/>
                <w:iCs w:val="0"/>
                <w:color w:val="000000"/>
                <w:sz w:val="18"/>
                <w:szCs w:val="18"/>
                <w:u w:val="none"/>
              </w:rPr>
            </w:pPr>
            <w:r>
              <w:rPr>
                <w:rFonts w:hint="default" w:ascii="Times New Roman" w:hAnsi="Times New Roman" w:eastAsia="MS Sans Serif" w:cs="Times New Roman"/>
                <w:b w:val="0"/>
                <w:bCs w:val="0"/>
                <w:i w:val="0"/>
                <w:iCs w:val="0"/>
                <w:color w:val="000000"/>
                <w:kern w:val="0"/>
                <w:sz w:val="18"/>
                <w:szCs w:val="18"/>
                <w:u w:val="none"/>
                <w:lang w:val="en-US" w:eastAsia="zh-CN" w:bidi="ar"/>
              </w:rPr>
              <w:t xml:space="preserve">3,484.27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自筹资金</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MS Sans Serif" w:cs="Times New Roman"/>
                <w:b w:val="0"/>
                <w:bCs w:val="0"/>
                <w:i w:val="0"/>
                <w:iCs w:val="0"/>
                <w:color w:val="000000"/>
                <w:sz w:val="18"/>
                <w:szCs w:val="18"/>
                <w:u w:val="none"/>
              </w:rPr>
            </w:pPr>
            <w:r>
              <w:rPr>
                <w:rFonts w:hint="default" w:ascii="Times New Roman" w:hAnsi="Times New Roman" w:eastAsia="MS Sans Serif" w:cs="Times New Roman"/>
                <w:b w:val="0"/>
                <w:bCs w:val="0"/>
                <w:i w:val="0"/>
                <w:iCs w:val="0"/>
                <w:color w:val="000000"/>
                <w:kern w:val="0"/>
                <w:sz w:val="18"/>
                <w:szCs w:val="18"/>
                <w:u w:val="none"/>
                <w:lang w:val="en-US" w:eastAsia="zh-CN" w:bidi="ar"/>
              </w:rPr>
              <w:t xml:space="preserve">8,155.13 </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MS Sans Serif" w:cs="Times New Roman"/>
                <w:b w:val="0"/>
                <w:bCs w:val="0"/>
                <w:i w:val="0"/>
                <w:iCs w:val="0"/>
                <w:color w:val="000000"/>
                <w:sz w:val="18"/>
                <w:szCs w:val="18"/>
                <w:u w:val="none"/>
              </w:rPr>
            </w:pPr>
            <w:r>
              <w:rPr>
                <w:rFonts w:hint="default" w:ascii="Times New Roman" w:hAnsi="Times New Roman" w:eastAsia="MS Sans Serif" w:cs="Times New Roman"/>
                <w:b w:val="0"/>
                <w:bCs w:val="0"/>
                <w:i w:val="0"/>
                <w:iCs w:val="0"/>
                <w:color w:val="000000"/>
                <w:kern w:val="0"/>
                <w:sz w:val="18"/>
                <w:szCs w:val="18"/>
                <w:u w:val="none"/>
                <w:lang w:val="en-US" w:eastAsia="zh-CN" w:bidi="ar"/>
              </w:rPr>
              <w:t xml:space="preserve">6,395.00 </w:t>
            </w:r>
          </w:p>
        </w:tc>
        <w:tc>
          <w:tcPr>
            <w:tcW w:w="11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MS Sans Serif" w:cs="Times New Roman"/>
                <w:b w:val="0"/>
                <w:bCs w:val="0"/>
                <w:i w:val="0"/>
                <w:iCs w:val="0"/>
                <w:color w:val="000000"/>
                <w:sz w:val="18"/>
                <w:szCs w:val="18"/>
                <w:u w:val="none"/>
              </w:rPr>
            </w:pPr>
          </w:p>
        </w:tc>
        <w:tc>
          <w:tcPr>
            <w:tcW w:w="12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MS Sans Serif" w:cs="Times New Roman"/>
                <w:b w:val="0"/>
                <w:bCs w:val="0"/>
                <w:i w:val="0"/>
                <w:iCs w:val="0"/>
                <w:color w:val="000000"/>
                <w:sz w:val="18"/>
                <w:szCs w:val="18"/>
                <w:u w:val="none"/>
              </w:rPr>
            </w:pPr>
          </w:p>
        </w:tc>
        <w:tc>
          <w:tcPr>
            <w:tcW w:w="1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MS Sans Serif"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ind w:firstLineChars="100"/>
              <w:jc w:val="both"/>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合计</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MS Sans Serif" w:cs="Times New Roman"/>
                <w:b w:val="0"/>
                <w:bCs w:val="0"/>
                <w:i w:val="0"/>
                <w:iCs w:val="0"/>
                <w:color w:val="000000"/>
                <w:sz w:val="18"/>
                <w:szCs w:val="18"/>
                <w:u w:val="none"/>
              </w:rPr>
            </w:pPr>
            <w:r>
              <w:rPr>
                <w:rFonts w:hint="default" w:ascii="Times New Roman" w:hAnsi="Times New Roman" w:eastAsia="MS Sans Serif" w:cs="Times New Roman"/>
                <w:b w:val="0"/>
                <w:bCs w:val="0"/>
                <w:i w:val="0"/>
                <w:iCs w:val="0"/>
                <w:color w:val="000000"/>
                <w:kern w:val="0"/>
                <w:sz w:val="18"/>
                <w:szCs w:val="18"/>
                <w:u w:val="none"/>
                <w:lang w:val="en-US" w:eastAsia="zh-CN" w:bidi="ar"/>
              </w:rPr>
              <w:t xml:space="preserve">11,155.13 </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MS Sans Serif" w:cs="Times New Roman"/>
                <w:b w:val="0"/>
                <w:bCs w:val="0"/>
                <w:i w:val="0"/>
                <w:iCs w:val="0"/>
                <w:color w:val="000000"/>
                <w:sz w:val="18"/>
                <w:szCs w:val="18"/>
                <w:u w:val="none"/>
              </w:rPr>
            </w:pPr>
            <w:r>
              <w:rPr>
                <w:rFonts w:hint="default" w:ascii="Times New Roman" w:hAnsi="Times New Roman" w:eastAsia="MS Sans Serif" w:cs="Times New Roman"/>
                <w:b w:val="0"/>
                <w:bCs w:val="0"/>
                <w:i w:val="0"/>
                <w:iCs w:val="0"/>
                <w:color w:val="000000"/>
                <w:kern w:val="0"/>
                <w:sz w:val="18"/>
                <w:szCs w:val="18"/>
                <w:u w:val="none"/>
                <w:lang w:val="en-US" w:eastAsia="zh-CN" w:bidi="ar"/>
              </w:rPr>
              <w:t xml:space="preserve">9,395.00 </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MS Sans Serif" w:cs="Times New Roman"/>
                <w:b w:val="0"/>
                <w:bCs w:val="0"/>
                <w:i w:val="0"/>
                <w:iCs w:val="0"/>
                <w:color w:val="000000"/>
                <w:sz w:val="18"/>
                <w:szCs w:val="18"/>
                <w:u w:val="none"/>
              </w:rPr>
            </w:pPr>
            <w:r>
              <w:rPr>
                <w:rFonts w:hint="default" w:ascii="Times New Roman" w:hAnsi="Times New Roman" w:eastAsia="MS Sans Serif" w:cs="Times New Roman"/>
                <w:b w:val="0"/>
                <w:bCs w:val="0"/>
                <w:i w:val="0"/>
                <w:iCs w:val="0"/>
                <w:color w:val="000000"/>
                <w:kern w:val="0"/>
                <w:sz w:val="18"/>
                <w:szCs w:val="18"/>
                <w:u w:val="none"/>
                <w:lang w:val="en-US" w:eastAsia="zh-CN" w:bidi="ar"/>
              </w:rPr>
              <w:t xml:space="preserve">6,901.13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MS Sans Serif" w:cs="Times New Roman"/>
                <w:b w:val="0"/>
                <w:bCs w:val="0"/>
                <w:i w:val="0"/>
                <w:iCs w:val="0"/>
                <w:color w:val="000000"/>
                <w:sz w:val="18"/>
                <w:szCs w:val="18"/>
                <w:u w:val="none"/>
              </w:rPr>
            </w:pPr>
            <w:r>
              <w:rPr>
                <w:rFonts w:hint="default" w:ascii="Times New Roman" w:hAnsi="Times New Roman" w:eastAsia="MS Sans Serif" w:cs="Times New Roman"/>
                <w:b w:val="0"/>
                <w:bCs w:val="0"/>
                <w:i w:val="0"/>
                <w:iCs w:val="0"/>
                <w:color w:val="000000"/>
                <w:kern w:val="0"/>
                <w:sz w:val="18"/>
                <w:szCs w:val="18"/>
                <w:u w:val="none"/>
                <w:lang w:val="en-US" w:eastAsia="zh-CN" w:bidi="ar"/>
              </w:rPr>
              <w:t xml:space="preserve">2,493.87 </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MS Sans Serif" w:cs="Times New Roman"/>
                <w:b w:val="0"/>
                <w:bCs w:val="0"/>
                <w:i w:val="0"/>
                <w:iCs w:val="0"/>
                <w:color w:val="000000"/>
                <w:sz w:val="18"/>
                <w:szCs w:val="18"/>
                <w:u w:val="none"/>
              </w:rPr>
            </w:pPr>
            <w:r>
              <w:rPr>
                <w:rFonts w:hint="default" w:ascii="Times New Roman" w:hAnsi="Times New Roman" w:eastAsia="MS Sans Serif" w:cs="Times New Roman"/>
                <w:b w:val="0"/>
                <w:bCs w:val="0"/>
                <w:i w:val="0"/>
                <w:iCs w:val="0"/>
                <w:color w:val="000000"/>
                <w:kern w:val="0"/>
                <w:sz w:val="18"/>
                <w:szCs w:val="18"/>
                <w:u w:val="none"/>
                <w:lang w:val="en-US" w:eastAsia="zh-CN" w:bidi="ar"/>
              </w:rPr>
              <w:t xml:space="preserve">3,484.27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15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420" w:firstLineChars="20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val="0"/>
                <w:bCs w:val="0"/>
                <w:i w:val="0"/>
                <w:iCs w:val="0"/>
                <w:color w:val="000000"/>
                <w:kern w:val="0"/>
                <w:sz w:val="21"/>
                <w:szCs w:val="21"/>
                <w:u w:val="none"/>
                <w:lang w:val="en-US" w:eastAsia="zh-CN" w:bidi="ar"/>
              </w:rPr>
              <w:t>说明</w:t>
            </w:r>
          </w:p>
        </w:tc>
        <w:tc>
          <w:tcPr>
            <w:tcW w:w="706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2020年末，应付未付3484.27万元，其中：2021年1-8月支出1844.32万元，应付未付合同1639.95万元</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sz w:val="24"/>
          <w:szCs w:val="24"/>
          <w:highlight w:val="none"/>
        </w:rPr>
        <w:t>●</w:t>
      </w:r>
      <w:r>
        <w:rPr>
          <w:rFonts w:hint="eastAsia" w:ascii="宋体" w:hAnsi="宋体" w:eastAsia="宋体" w:cs="宋体"/>
          <w:b/>
          <w:bCs/>
          <w:color w:val="000000"/>
          <w:sz w:val="24"/>
          <w:szCs w:val="24"/>
          <w:lang w:val="en-US" w:eastAsia="zh-CN"/>
        </w:rPr>
        <w:t>项目产出目标</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482" w:firstLineChars="200"/>
        <w:textAlignment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（一）数量目标任务</w:t>
      </w:r>
    </w:p>
    <w:p>
      <w:pPr>
        <w:keepNext w:val="0"/>
        <w:keepLines w:val="0"/>
        <w:pageBreakBefore w:val="0"/>
        <w:widowControl w:val="0"/>
        <w:numPr>
          <w:ilvl w:val="0"/>
          <w:numId w:val="0"/>
        </w:numPr>
        <w:kinsoku/>
        <w:wordWrap/>
        <w:overflowPunct/>
        <w:topLinePunct w:val="0"/>
        <w:autoSpaceDE/>
        <w:autoSpaceDN w:val="0"/>
        <w:bidi w:val="0"/>
        <w:adjustRightInd/>
        <w:snapToGrid/>
        <w:spacing w:line="460" w:lineRule="exact"/>
        <w:ind w:firstLine="480" w:firstLineChars="200"/>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项目新建1座污水处理厂、建筑物面积1520平方米，包括粗格栅及提升泵站、细格栅及旋流沉砂池、AAO池、高效沉淀池、过滤池、消毒计量池、污泥脱水车间、加药间等污水处理构筑物，以及办公楼、机修间、值班室、鼓风机房、配电间、厂区道路、绿化、围墙、门卫和大门等附属配套设施。</w:t>
      </w:r>
    </w:p>
    <w:p>
      <w:pPr>
        <w:keepNext w:val="0"/>
        <w:keepLines w:val="0"/>
        <w:pageBreakBefore w:val="0"/>
        <w:widowControl w:val="0"/>
        <w:numPr>
          <w:ilvl w:val="0"/>
          <w:numId w:val="0"/>
        </w:numPr>
        <w:kinsoku/>
        <w:wordWrap/>
        <w:overflowPunct/>
        <w:topLinePunct w:val="0"/>
        <w:autoSpaceDE/>
        <w:autoSpaceDN w:val="0"/>
        <w:bidi w:val="0"/>
        <w:adjustRightInd/>
        <w:snapToGrid/>
        <w:spacing w:line="460" w:lineRule="exact"/>
        <w:ind w:firstLine="480" w:firstLineChars="200"/>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2、处理能力达到1万立方米/天。</w:t>
      </w:r>
    </w:p>
    <w:p>
      <w:pPr>
        <w:keepNext w:val="0"/>
        <w:keepLines w:val="0"/>
        <w:pageBreakBefore w:val="0"/>
        <w:widowControl w:val="0"/>
        <w:numPr>
          <w:ilvl w:val="0"/>
          <w:numId w:val="0"/>
        </w:numPr>
        <w:kinsoku/>
        <w:wordWrap/>
        <w:overflowPunct/>
        <w:topLinePunct w:val="0"/>
        <w:autoSpaceDE/>
        <w:autoSpaceDN w:val="0"/>
        <w:bidi w:val="0"/>
        <w:adjustRightInd/>
        <w:snapToGrid/>
        <w:spacing w:line="460" w:lineRule="exact"/>
        <w:ind w:firstLine="480" w:firstLineChars="200"/>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3、新增长街办片区、八字门片区及路口片区污水管网，新建重力流污水管道总长约16973米，检查井428座、沉泥井10座、阀门井4座、排气井3座、泄水井2座、跌水井4座。</w:t>
      </w:r>
    </w:p>
    <w:p>
      <w:pPr>
        <w:keepNext w:val="0"/>
        <w:keepLines w:val="0"/>
        <w:pageBreakBefore w:val="0"/>
        <w:widowControl w:val="0"/>
        <w:numPr>
          <w:ilvl w:val="0"/>
          <w:numId w:val="0"/>
        </w:numPr>
        <w:kinsoku/>
        <w:wordWrap/>
        <w:overflowPunct/>
        <w:topLinePunct w:val="0"/>
        <w:autoSpaceDE/>
        <w:autoSpaceDN w:val="0"/>
        <w:bidi w:val="0"/>
        <w:adjustRightInd/>
        <w:snapToGrid/>
        <w:spacing w:line="460" w:lineRule="exact"/>
        <w:ind w:firstLine="560"/>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4、维修改造长岭社区内部污水收集管道2949米、检查井90座、化粪池1座。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（二）质量目标任务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1、建筑安装工程竣工验收合格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2、采购设施设备质量验收合格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3、污水处理设施出水水质达到《城镇污水处理厂污染物排放标准》（GB18918-2002)中一级A标准。</w:t>
      </w:r>
    </w:p>
    <w:p>
      <w:pPr>
        <w:keepNext w:val="0"/>
        <w:keepLines w:val="0"/>
        <w:pageBreakBefore w:val="0"/>
        <w:widowControl w:val="0"/>
        <w:kinsoku/>
        <w:wordWrap/>
        <w:overflowPunct/>
        <w:topLinePunct w:val="0"/>
        <w:autoSpaceDE/>
        <w:bidi w:val="0"/>
        <w:adjustRightInd/>
        <w:snapToGrid/>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相关</w:t>
      </w:r>
      <w:r>
        <w:rPr>
          <w:rFonts w:hint="eastAsia" w:ascii="宋体" w:hAnsi="宋体" w:eastAsia="宋体" w:cs="宋体"/>
          <w:color w:val="000000"/>
          <w:sz w:val="24"/>
          <w:szCs w:val="24"/>
          <w:lang w:val="en-US" w:eastAsia="zh-CN"/>
        </w:rPr>
        <w:t>部门检查问题整改率100%。</w:t>
      </w:r>
    </w:p>
    <w:p>
      <w:pPr>
        <w:keepNext w:val="0"/>
        <w:keepLines w:val="0"/>
        <w:pageBreakBefore w:val="0"/>
        <w:widowControl w:val="0"/>
        <w:kinsoku/>
        <w:wordWrap/>
        <w:overflowPunct/>
        <w:topLinePunct w:val="0"/>
        <w:autoSpaceDE/>
        <w:bidi w:val="0"/>
        <w:adjustRightInd/>
        <w:snapToGrid/>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5、岳阳市“洞庭清波”问题整改挂帐销号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i w:val="0"/>
          <w:color w:val="000000"/>
          <w:kern w:val="0"/>
          <w:sz w:val="24"/>
          <w:szCs w:val="24"/>
          <w:u w:val="none"/>
          <w:lang w:val="en-US" w:eastAsia="zh-CN" w:bidi="ar"/>
        </w:rPr>
        <w:t>（三）时限目标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1、按合同时间开工（2020年4月26日）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2、按合同时间竣工（2020年11月26日）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3、按区政府要求时间交付使用（2020年12月30日前）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（四）成本控制目标</w:t>
      </w:r>
    </w:p>
    <w:p>
      <w:pPr>
        <w:keepNext w:val="0"/>
        <w:keepLines w:val="0"/>
        <w:pageBreakBefore w:val="0"/>
        <w:widowControl w:val="0"/>
        <w:numPr>
          <w:ilvl w:val="0"/>
          <w:numId w:val="0"/>
        </w:numPr>
        <w:kinsoku/>
        <w:wordWrap/>
        <w:overflowPunct/>
        <w:topLinePunct w:val="0"/>
        <w:autoSpaceDE/>
        <w:autoSpaceDN w:val="0"/>
        <w:bidi w:val="0"/>
        <w:adjustRightInd/>
        <w:snapToGrid/>
        <w:spacing w:line="460" w:lineRule="exact"/>
        <w:ind w:firstLine="480" w:firstLineChars="200"/>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项目支出控制在预算成本范围内</w:t>
      </w:r>
    </w:p>
    <w:p>
      <w:pPr>
        <w:keepNext w:val="0"/>
        <w:keepLines w:val="0"/>
        <w:pageBreakBefore w:val="0"/>
        <w:widowControl w:val="0"/>
        <w:numPr>
          <w:ilvl w:val="0"/>
          <w:numId w:val="0"/>
        </w:numPr>
        <w:kinsoku/>
        <w:wordWrap/>
        <w:overflowPunct/>
        <w:topLinePunct w:val="0"/>
        <w:autoSpaceDE/>
        <w:autoSpaceDN w:val="0"/>
        <w:bidi w:val="0"/>
        <w:adjustRightInd/>
        <w:snapToGrid/>
        <w:spacing w:line="460" w:lineRule="exact"/>
        <w:ind w:firstLine="480" w:firstLineChars="200"/>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2、2021年预期收入与成本控制达到预期目标</w:t>
      </w:r>
    </w:p>
    <w:p>
      <w:pPr>
        <w:keepNext w:val="0"/>
        <w:keepLines w:val="0"/>
        <w:pageBreakBefore w:val="0"/>
        <w:widowControl w:val="0"/>
        <w:numPr>
          <w:ilvl w:val="0"/>
          <w:numId w:val="0"/>
        </w:numPr>
        <w:kinsoku/>
        <w:wordWrap/>
        <w:overflowPunct/>
        <w:topLinePunct w:val="0"/>
        <w:autoSpaceDE/>
        <w:autoSpaceDN w:val="0"/>
        <w:bidi w:val="0"/>
        <w:adjustRightInd/>
        <w:snapToGrid/>
        <w:spacing w:line="460" w:lineRule="exact"/>
        <w:ind w:firstLine="480" w:firstLineChars="200"/>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highlight w:val="none"/>
          <w:lang w:val="en-US" w:eastAsia="zh-CN"/>
        </w:rPr>
        <w:t>3、居民生活用水收费标准按1.1元/吨m³收取。</w:t>
      </w:r>
    </w:p>
    <w:p>
      <w:pPr>
        <w:keepNext w:val="0"/>
        <w:keepLines w:val="0"/>
        <w:pageBreakBefore w:val="0"/>
        <w:widowControl w:val="0"/>
        <w:kinsoku/>
        <w:wordWrap/>
        <w:overflowPunct/>
        <w:topLinePunct w:val="0"/>
        <w:autoSpaceDE/>
        <w:bidi w:val="0"/>
        <w:adjustRightInd/>
        <w:snapToGrid/>
        <w:spacing w:line="460" w:lineRule="exact"/>
        <w:ind w:firstLine="480" w:firstLineChars="200"/>
        <w:rPr>
          <w:rFonts w:hint="eastAsia" w:ascii="宋体" w:hAnsi="宋体" w:eastAsia="宋体" w:cs="宋体"/>
          <w:b w:val="0"/>
          <w:bCs w:val="0"/>
          <w:color w:val="000000"/>
          <w:sz w:val="24"/>
          <w:szCs w:val="24"/>
          <w:highlight w:val="yellow"/>
          <w:lang w:val="en-US" w:eastAsia="zh-CN"/>
        </w:rPr>
      </w:pPr>
      <w:r>
        <w:rPr>
          <w:rFonts w:hint="eastAsia" w:ascii="宋体" w:hAnsi="宋体" w:eastAsia="宋体" w:cs="宋体"/>
          <w:color w:val="000000"/>
          <w:sz w:val="24"/>
          <w:szCs w:val="24"/>
          <w:lang w:val="en-US" w:eastAsia="zh-CN"/>
        </w:rPr>
        <w:t>4、2021年债券资金</w:t>
      </w:r>
      <w:r>
        <w:rPr>
          <w:rFonts w:hint="eastAsia" w:ascii="宋体" w:hAnsi="宋体" w:eastAsia="宋体" w:cs="宋体"/>
          <w:color w:val="000000"/>
          <w:sz w:val="24"/>
          <w:szCs w:val="24"/>
        </w:rPr>
        <w:t>付息率100%。</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（五）项目实施效果及群众满意度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1、项目使用效果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630" w:leftChars="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（1）设施设备利用率100%</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630" w:leftChars="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（2）设施设备正常运行。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2、经济效益：</w:t>
      </w:r>
      <w:r>
        <w:rPr>
          <w:rFonts w:hint="eastAsia" w:ascii="宋体" w:hAnsi="宋体" w:eastAsia="宋体" w:cs="宋体"/>
          <w:b w:val="0"/>
          <w:bCs w:val="0"/>
          <w:color w:val="000000"/>
          <w:sz w:val="24"/>
          <w:szCs w:val="24"/>
          <w:highlight w:val="none"/>
          <w:lang w:val="en-US" w:eastAsia="zh-CN"/>
        </w:rPr>
        <w:t>污水处理收入比项目实施前增加。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3、社会效益：群众满意度高，社会反馈良好。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4、环境影响：符合节能减排要求，环保部门验收合格。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5、可持续性：国家重点支持项目，有专业团队管理，有固定的收入来源。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6、社会资本投入：带动社会资本有效投资。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7、社会公众及运营单位职工对项目建设规模及质量满意度90%以上。</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●评价结论</w:t>
      </w:r>
    </w:p>
    <w:p>
      <w:pPr>
        <w:keepNext w:val="0"/>
        <w:keepLines w:val="0"/>
        <w:pageBreakBefore w:val="0"/>
        <w:widowControl w:val="0"/>
        <w:kinsoku/>
        <w:wordWrap/>
        <w:overflowPunct/>
        <w:topLinePunct w:val="0"/>
        <w:autoSpaceDE/>
        <w:autoSpaceDN/>
        <w:bidi w:val="0"/>
        <w:snapToGrid/>
        <w:spacing w:line="460" w:lineRule="exact"/>
        <w:ind w:firstLine="361" w:firstLineChars="15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highlight w:val="none"/>
          <w:lang w:val="en-US" w:eastAsia="zh-CN"/>
        </w:rPr>
        <w:t>评价结论</w:t>
      </w:r>
    </w:p>
    <w:p>
      <w:pPr>
        <w:keepNext w:val="0"/>
        <w:keepLines w:val="0"/>
        <w:pageBreakBefore w:val="0"/>
        <w:widowControl w:val="0"/>
        <w:kinsoku/>
        <w:wordWrap/>
        <w:overflowPunct/>
        <w:topLinePunct w:val="0"/>
        <w:autoSpaceDE/>
        <w:autoSpaceDN/>
        <w:bidi w:val="0"/>
        <w:adjustRightInd w:val="0"/>
        <w:snapToGrid/>
        <w:spacing w:line="46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经绩效评价小组评定项目得分82.5分，等级为“良”。其中：</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1、投入：  总分20分 该项目得分15分   扣5分</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2、过程 ： 总分30分 该项目得分25.5分 扣4.5分</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3、产出 ： 总分30分 该项目得分23分   扣7分</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4、效果 ： 总分20分 该项目得分19分   扣1分</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见《</w:t>
      </w:r>
      <w:r>
        <w:rPr>
          <w:rFonts w:hint="eastAsia" w:ascii="宋体" w:hAnsi="宋体" w:eastAsia="宋体" w:cs="宋体"/>
          <w:b w:val="0"/>
          <w:bCs w:val="0"/>
          <w:sz w:val="24"/>
          <w:szCs w:val="24"/>
          <w:highlight w:val="none"/>
          <w:lang w:val="en-US" w:eastAsia="zh-CN"/>
        </w:rPr>
        <w:t>岳阳市云溪区长岭污水处理厂专项债券建设项目绩效</w:t>
      </w:r>
      <w:r>
        <w:rPr>
          <w:rFonts w:hint="eastAsia" w:ascii="宋体" w:hAnsi="宋体" w:eastAsia="宋体" w:cs="宋体"/>
          <w:b w:val="0"/>
          <w:bCs w:val="0"/>
          <w:sz w:val="24"/>
          <w:szCs w:val="24"/>
          <w:lang w:val="en-US" w:eastAsia="zh-CN"/>
        </w:rPr>
        <w:t>评分表》（附件2）</w:t>
      </w:r>
    </w:p>
    <w:p>
      <w:pPr>
        <w:keepNext w:val="0"/>
        <w:keepLines w:val="0"/>
        <w:pageBreakBefore w:val="0"/>
        <w:widowControl w:val="0"/>
        <w:numPr>
          <w:ilvl w:val="0"/>
          <w:numId w:val="2"/>
        </w:numPr>
        <w:kinsoku/>
        <w:wordWrap/>
        <w:overflowPunct/>
        <w:topLinePunct w:val="0"/>
        <w:autoSpaceDE/>
        <w:autoSpaceDN/>
        <w:bidi w:val="0"/>
        <w:snapToGrid/>
        <w:spacing w:line="460" w:lineRule="exact"/>
        <w:ind w:firstLine="361" w:firstLineChars="15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主要绩效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sz w:val="24"/>
          <w:szCs w:val="24"/>
          <w:highlight w:val="none"/>
          <w:lang w:val="en-US" w:eastAsia="zh-CN"/>
        </w:rPr>
        <w:t>1、区领导高度重视，完成</w:t>
      </w:r>
      <w:r>
        <w:rPr>
          <w:rFonts w:hint="eastAsia" w:ascii="宋体" w:hAnsi="宋体" w:eastAsia="宋体" w:cs="宋体"/>
          <w:b w:val="0"/>
          <w:bCs w:val="0"/>
          <w:color w:val="000000"/>
          <w:sz w:val="24"/>
          <w:szCs w:val="24"/>
          <w:highlight w:val="none"/>
          <w:lang w:val="en-US" w:eastAsia="zh-CN"/>
        </w:rPr>
        <w:t>“洞庭清波”问题整改挂帐销号任务。</w:t>
      </w:r>
    </w:p>
    <w:p>
      <w:pPr>
        <w:keepNext w:val="0"/>
        <w:keepLines w:val="0"/>
        <w:pageBreakBefore w:val="0"/>
        <w:widowControl w:val="0"/>
        <w:numPr>
          <w:ilvl w:val="0"/>
          <w:numId w:val="0"/>
        </w:numPr>
        <w:kinsoku/>
        <w:wordWrap/>
        <w:overflowPunct/>
        <w:topLinePunct w:val="0"/>
        <w:autoSpaceDE/>
        <w:autoSpaceDN/>
        <w:bidi w:val="0"/>
        <w:snapToGrid/>
        <w:spacing w:line="4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2、专项债券资金投入，为顺利完成项目建设提供资金保障。</w:t>
      </w:r>
    </w:p>
    <w:p>
      <w:pPr>
        <w:keepNext w:val="0"/>
        <w:keepLines w:val="0"/>
        <w:pageBreakBefore w:val="0"/>
        <w:widowControl w:val="0"/>
        <w:numPr>
          <w:ilvl w:val="0"/>
          <w:numId w:val="0"/>
        </w:numPr>
        <w:kinsoku/>
        <w:wordWrap/>
        <w:overflowPunct/>
        <w:topLinePunct w:val="0"/>
        <w:autoSpaceDE/>
        <w:autoSpaceDN/>
        <w:bidi w:val="0"/>
        <w:snapToGrid/>
        <w:spacing w:line="4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3、项目实施，具有良好社会效益、经济效益及环保效益。</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宋体" w:hAnsi="宋体" w:eastAsia="宋体" w:cs="宋体"/>
          <w:b/>
          <w:bCs/>
          <w:color w:val="000000"/>
          <w:sz w:val="24"/>
          <w:szCs w:val="24"/>
          <w:lang w:val="en-US" w:eastAsia="zh-CN"/>
        </w:rPr>
      </w:pPr>
      <w:r>
        <w:rPr>
          <w:rFonts w:hint="eastAsia" w:ascii="宋体" w:hAnsi="宋体" w:eastAsia="宋体" w:cs="宋体"/>
          <w:b/>
          <w:bCs/>
          <w:sz w:val="24"/>
          <w:szCs w:val="24"/>
          <w:highlight w:val="none"/>
        </w:rPr>
        <w:t>●</w:t>
      </w:r>
      <w:r>
        <w:rPr>
          <w:rFonts w:hint="eastAsia" w:ascii="宋体" w:hAnsi="宋体" w:eastAsia="宋体" w:cs="宋体"/>
          <w:b/>
          <w:bCs/>
          <w:color w:val="000000"/>
          <w:sz w:val="24"/>
          <w:szCs w:val="24"/>
          <w:lang w:val="en-US" w:eastAsia="zh-CN"/>
        </w:rPr>
        <w:t>存在的问题及</w:t>
      </w:r>
      <w:r>
        <w:rPr>
          <w:rFonts w:hint="eastAsia" w:ascii="宋体" w:hAnsi="宋体" w:eastAsia="宋体" w:cs="宋体"/>
          <w:b/>
          <w:bCs/>
          <w:color w:val="000000"/>
          <w:sz w:val="24"/>
          <w:szCs w:val="24"/>
          <w:lang w:val="en-US" w:eastAsia="zh-CN"/>
        </w:rPr>
        <w:t>改进建议</w:t>
      </w:r>
      <w:r>
        <w:rPr>
          <w:rFonts w:hint="eastAsia" w:ascii="宋体" w:hAnsi="宋体" w:eastAsia="宋体" w:cs="宋体"/>
          <w:b w:val="0"/>
          <w:bCs w:val="0"/>
          <w:color w:val="00000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val="0"/>
          <w:bCs w:val="0"/>
          <w:sz w:val="24"/>
          <w:szCs w:val="24"/>
          <w:highlight w:val="none"/>
          <w:lang w:val="en-US" w:eastAsia="zh-CN"/>
        </w:rPr>
        <w:t>（</w:t>
      </w:r>
      <w:r>
        <w:rPr>
          <w:rFonts w:hint="eastAsia" w:ascii="宋体" w:hAnsi="宋体" w:eastAsia="宋体" w:cs="宋体"/>
          <w:b/>
          <w:bCs/>
          <w:sz w:val="24"/>
          <w:szCs w:val="24"/>
          <w:highlight w:val="none"/>
          <w:lang w:val="en-US" w:eastAsia="zh-CN"/>
        </w:rPr>
        <w:t>一）存在问题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1、未获得施工许可证提前开工，不合规。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2、项目绩效管理不到位。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3、未按合同条款履约。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总承包合同内容超范围，无发改部门初步设计概算的批复。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5、2021年实际与预期收入、成本存在较大差距。</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6、污水收集率低、污水处理规模未达标。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7、建设用地费用超概算。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（二）相关建议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1、明确绩效目标，加强绩效管理。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2、制订风控机制及措施，严控资金风险。</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3、加强对项目工程预算、决算审计工作。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4、加强运营计划管理，保障项目按预期目标顺利运行。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5、项目业主应履行项目运营期的监督、管理职责。</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6、实现污水处理预期收入、控制项目运营经营成本。</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7、加强项目资产管理，及时办理相关手续。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8、组织调查实际污水收集情况，提升污水收集率。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b/>
          <w:sz w:val="30"/>
          <w:szCs w:val="30"/>
        </w:rPr>
      </w:pPr>
      <w:r>
        <w:rPr>
          <w:rFonts w:hint="eastAsia" w:ascii="宋体" w:hAnsi="宋体" w:eastAsia="宋体" w:cs="宋体"/>
          <w:b w:val="0"/>
          <w:bCs w:val="0"/>
          <w:sz w:val="24"/>
          <w:szCs w:val="24"/>
          <w:highlight w:val="none"/>
          <w:lang w:val="en-US" w:eastAsia="zh-CN"/>
        </w:rPr>
        <w:t>具体内容见《云溪区长岭污水处理厂建设专项债券项目重点绩效评价报告》</w:t>
      </w:r>
    </w:p>
    <w:p>
      <w:pPr>
        <w:spacing w:line="240" w:lineRule="atLeast"/>
        <w:ind w:firstLine="3614" w:firstLineChars="1200"/>
        <w:outlineLvl w:val="0"/>
        <w:rPr>
          <w:rFonts w:hint="eastAsia" w:ascii="宋体" w:hAnsi="宋体"/>
          <w:b/>
          <w:sz w:val="30"/>
          <w:szCs w:val="30"/>
        </w:rPr>
      </w:pPr>
    </w:p>
    <w:p>
      <w:pPr>
        <w:spacing w:line="240" w:lineRule="atLeast"/>
        <w:ind w:firstLine="3614" w:firstLineChars="1200"/>
        <w:outlineLvl w:val="0"/>
        <w:rPr>
          <w:rFonts w:hint="eastAsia" w:ascii="宋体" w:hAnsi="宋体"/>
          <w:b/>
          <w:sz w:val="30"/>
          <w:szCs w:val="30"/>
        </w:rPr>
      </w:pPr>
    </w:p>
    <w:p>
      <w:pPr>
        <w:spacing w:line="240" w:lineRule="atLeast"/>
        <w:ind w:firstLine="3614" w:firstLineChars="1200"/>
        <w:outlineLvl w:val="0"/>
        <w:rPr>
          <w:rFonts w:hint="eastAsia"/>
          <w:sz w:val="24"/>
        </w:rPr>
      </w:pPr>
      <w:r>
        <w:rPr>
          <w:rFonts w:hint="eastAsia" w:ascii="宋体" w:hAnsi="宋体"/>
          <w:b/>
          <w:sz w:val="30"/>
          <w:szCs w:val="30"/>
        </w:rPr>
        <w:t>目       录</w:t>
      </w:r>
    </w:p>
    <w:p>
      <w:pPr>
        <w:widowControl/>
        <w:spacing w:line="420" w:lineRule="exact"/>
        <w:ind w:firstLine="442" w:firstLineChars="200"/>
        <w:jc w:val="left"/>
        <w:rPr>
          <w:rFonts w:ascii="宋体" w:hAnsi="宋体" w:cs="宋体"/>
          <w:b/>
          <w:szCs w:val="21"/>
        </w:rPr>
      </w:pPr>
      <w:r>
        <w:rPr>
          <w:rFonts w:hint="eastAsia" w:ascii="宋体" w:hAnsi="宋体" w:cs="宋体"/>
          <w:b/>
          <w:sz w:val="22"/>
          <w:szCs w:val="22"/>
        </w:rPr>
        <w:t xml:space="preserve">内容简介........................................................... </w:t>
      </w:r>
    </w:p>
    <w:p>
      <w:pPr>
        <w:widowControl/>
        <w:spacing w:line="420" w:lineRule="exact"/>
        <w:ind w:firstLine="422" w:firstLineChars="200"/>
        <w:jc w:val="left"/>
        <w:rPr>
          <w:rFonts w:ascii="宋体" w:hAnsi="宋体" w:cs="宋体"/>
          <w:b/>
          <w:szCs w:val="21"/>
        </w:rPr>
      </w:pPr>
      <w:r>
        <w:rPr>
          <w:rFonts w:hint="eastAsia" w:ascii="宋体" w:hAnsi="宋体" w:cs="宋体"/>
          <w:b/>
          <w:szCs w:val="21"/>
        </w:rPr>
        <w:t>一、项目基本情况........................................................1</w:t>
      </w:r>
    </w:p>
    <w:p>
      <w:pPr>
        <w:widowControl/>
        <w:spacing w:line="360" w:lineRule="exact"/>
        <w:ind w:firstLine="315" w:firstLineChars="150"/>
        <w:rPr>
          <w:rFonts w:hint="eastAsia" w:ascii="宋体" w:hAnsi="宋体" w:cs="宋体"/>
          <w:szCs w:val="21"/>
        </w:rPr>
      </w:pPr>
      <w:r>
        <w:rPr>
          <w:rFonts w:hint="eastAsia" w:ascii="宋体" w:hAnsi="宋体" w:cs="宋体"/>
          <w:szCs w:val="21"/>
        </w:rPr>
        <w:t>（一）项目概况............................................................1</w:t>
      </w:r>
    </w:p>
    <w:p>
      <w:pPr>
        <w:spacing w:line="360" w:lineRule="exact"/>
        <w:ind w:firstLine="315" w:firstLineChars="150"/>
        <w:rPr>
          <w:rFonts w:ascii="宋体" w:hAnsi="宋体" w:cs="宋体"/>
          <w:szCs w:val="21"/>
        </w:rPr>
      </w:pPr>
      <w:r>
        <w:rPr>
          <w:rFonts w:hint="eastAsia" w:ascii="宋体" w:hAnsi="宋体" w:cs="宋体"/>
          <w:szCs w:val="21"/>
        </w:rPr>
        <w:t xml:space="preserve">  1、项目背景.............................................................1</w:t>
      </w:r>
    </w:p>
    <w:p>
      <w:pPr>
        <w:spacing w:line="360" w:lineRule="exact"/>
        <w:ind w:firstLine="525" w:firstLineChars="250"/>
        <w:rPr>
          <w:rFonts w:hint="eastAsia" w:ascii="宋体" w:hAnsi="宋体" w:eastAsia="宋体" w:cs="宋体"/>
          <w:szCs w:val="21"/>
          <w:lang w:val="en-US" w:eastAsia="zh-CN"/>
        </w:rPr>
      </w:pPr>
      <w:r>
        <w:rPr>
          <w:rFonts w:hint="eastAsia" w:ascii="宋体" w:hAnsi="宋体" w:cs="宋体"/>
          <w:szCs w:val="21"/>
        </w:rPr>
        <w:t>2、项目基本情况..............................................</w:t>
      </w:r>
      <w:r>
        <w:rPr>
          <w:rFonts w:hint="eastAsia" w:ascii="宋体" w:hAnsi="宋体" w:cs="宋体"/>
          <w:szCs w:val="21"/>
          <w:lang w:val="en-US" w:eastAsia="zh-CN"/>
        </w:rPr>
        <w:t>..........</w:t>
      </w:r>
      <w:r>
        <w:rPr>
          <w:rFonts w:hint="eastAsia" w:ascii="宋体" w:hAnsi="宋体" w:cs="宋体"/>
          <w:szCs w:val="21"/>
        </w:rPr>
        <w:t xml:space="preserve"> </w:t>
      </w:r>
      <w:r>
        <w:rPr>
          <w:rFonts w:hint="eastAsia" w:ascii="宋体" w:hAnsi="宋体" w:cs="宋体"/>
          <w:szCs w:val="21"/>
          <w:lang w:val="en-US" w:eastAsia="zh-CN"/>
        </w:rPr>
        <w:t>2</w:t>
      </w:r>
    </w:p>
    <w:p>
      <w:pPr>
        <w:spacing w:line="360" w:lineRule="exact"/>
        <w:ind w:firstLine="525" w:firstLineChars="250"/>
        <w:rPr>
          <w:rFonts w:ascii="宋体" w:hAnsi="宋体" w:cs="宋体"/>
          <w:szCs w:val="21"/>
        </w:rPr>
      </w:pPr>
      <w:r>
        <w:rPr>
          <w:rFonts w:hint="eastAsia" w:ascii="宋体" w:hAnsi="宋体" w:cs="宋体"/>
          <w:szCs w:val="21"/>
        </w:rPr>
        <w:t>3、项目单位基本</w:t>
      </w:r>
      <w:r>
        <w:rPr>
          <w:rFonts w:hint="eastAsia" w:ascii="宋体" w:hAnsi="宋体" w:cs="宋体"/>
          <w:szCs w:val="21"/>
          <w:lang w:val="en-US" w:eastAsia="zh-CN"/>
        </w:rPr>
        <w:t>情况</w:t>
      </w:r>
      <w:r>
        <w:rPr>
          <w:rFonts w:hint="eastAsia" w:ascii="宋体" w:hAnsi="宋体" w:cs="宋体"/>
          <w:szCs w:val="21"/>
        </w:rPr>
        <w:t>................................................</w:t>
      </w:r>
      <w:r>
        <w:rPr>
          <w:rFonts w:hint="eastAsia" w:ascii="宋体" w:hAnsi="宋体" w:cs="宋体"/>
          <w:szCs w:val="21"/>
          <w:lang w:val="en-US" w:eastAsia="zh-CN"/>
        </w:rPr>
        <w:t>....</w:t>
      </w:r>
      <w:r>
        <w:rPr>
          <w:rFonts w:hint="eastAsia" w:ascii="宋体" w:hAnsi="宋体" w:cs="宋体"/>
          <w:szCs w:val="21"/>
        </w:rPr>
        <w:t xml:space="preserve"> 2</w:t>
      </w:r>
    </w:p>
    <w:p>
      <w:pPr>
        <w:spacing w:line="360" w:lineRule="exact"/>
        <w:ind w:firstLine="525" w:firstLineChars="250"/>
        <w:rPr>
          <w:rFonts w:hint="default" w:ascii="宋体" w:hAnsi="宋体" w:eastAsia="宋体" w:cs="宋体"/>
          <w:szCs w:val="21"/>
          <w:lang w:val="en-US" w:eastAsia="zh-CN"/>
        </w:rPr>
      </w:pPr>
      <w:r>
        <w:rPr>
          <w:rFonts w:hint="eastAsia" w:ascii="宋体" w:hAnsi="宋体" w:cs="宋体"/>
          <w:szCs w:val="21"/>
        </w:rPr>
        <w:t>4、</w:t>
      </w:r>
      <w:r>
        <w:rPr>
          <w:rFonts w:hint="eastAsia" w:ascii="宋体" w:hAnsi="宋体" w:cs="宋体"/>
          <w:szCs w:val="21"/>
          <w:lang w:val="en-US" w:eastAsia="zh-CN"/>
        </w:rPr>
        <w:t>主要建设规模及内容</w:t>
      </w:r>
      <w:r>
        <w:rPr>
          <w:rFonts w:hint="eastAsia" w:ascii="宋体" w:hAnsi="宋体" w:cs="宋体"/>
          <w:szCs w:val="21"/>
        </w:rPr>
        <w:t>..............................................</w:t>
      </w:r>
      <w:r>
        <w:rPr>
          <w:rFonts w:hint="eastAsia" w:ascii="宋体" w:hAnsi="宋体" w:cs="宋体"/>
          <w:szCs w:val="21"/>
          <w:lang w:val="en-US" w:eastAsia="zh-CN"/>
        </w:rPr>
        <w:t>.....3</w:t>
      </w:r>
    </w:p>
    <w:p>
      <w:pPr>
        <w:spacing w:line="360" w:lineRule="exact"/>
        <w:ind w:firstLine="525" w:firstLineChars="250"/>
        <w:rPr>
          <w:rFonts w:hint="eastAsia" w:ascii="宋体" w:hAnsi="宋体" w:eastAsia="宋体" w:cs="宋体"/>
          <w:szCs w:val="21"/>
          <w:lang w:val="en-US" w:eastAsia="zh-CN"/>
        </w:rPr>
      </w:pPr>
      <w:r>
        <w:rPr>
          <w:rFonts w:hint="eastAsia" w:ascii="宋体" w:hAnsi="宋体" w:cs="宋体"/>
          <w:szCs w:val="21"/>
        </w:rPr>
        <w:t>5、项目实施进展情况.....................................................</w:t>
      </w:r>
      <w:r>
        <w:rPr>
          <w:rFonts w:hint="eastAsia" w:ascii="宋体" w:hAnsi="宋体" w:cs="宋体"/>
          <w:szCs w:val="21"/>
          <w:lang w:val="en-US" w:eastAsia="zh-CN"/>
        </w:rPr>
        <w:t>3</w:t>
      </w:r>
    </w:p>
    <w:p>
      <w:pPr>
        <w:spacing w:line="360" w:lineRule="exact"/>
        <w:ind w:firstLine="315" w:firstLineChars="150"/>
        <w:rPr>
          <w:rFonts w:hint="eastAsia" w:ascii="宋体" w:hAnsi="宋体" w:eastAsia="宋体" w:cs="宋体"/>
          <w:szCs w:val="21"/>
          <w:lang w:val="en-US" w:eastAsia="zh-CN"/>
        </w:rPr>
      </w:pPr>
      <w:r>
        <w:rPr>
          <w:rFonts w:hint="eastAsia" w:ascii="宋体" w:hAnsi="宋体" w:cs="宋体"/>
          <w:szCs w:val="21"/>
        </w:rPr>
        <w:t xml:space="preserve"> (二）项目资金情况........................................................</w:t>
      </w:r>
      <w:r>
        <w:rPr>
          <w:rFonts w:hint="eastAsia" w:ascii="宋体" w:hAnsi="宋体" w:cs="宋体"/>
          <w:szCs w:val="21"/>
          <w:lang w:val="en-US" w:eastAsia="zh-CN"/>
        </w:rPr>
        <w:t>4</w:t>
      </w:r>
    </w:p>
    <w:p>
      <w:pPr>
        <w:spacing w:line="360" w:lineRule="exact"/>
        <w:ind w:firstLine="630" w:firstLineChars="300"/>
        <w:rPr>
          <w:rFonts w:hint="eastAsia" w:ascii="宋体" w:hAnsi="宋体" w:eastAsia="宋体" w:cs="宋体"/>
          <w:szCs w:val="21"/>
          <w:lang w:val="en-US" w:eastAsia="zh-CN"/>
        </w:rPr>
      </w:pPr>
      <w:r>
        <w:rPr>
          <w:rFonts w:hint="eastAsia" w:ascii="宋体" w:hAnsi="宋体" w:cs="宋体"/>
          <w:szCs w:val="21"/>
        </w:rPr>
        <w:t>1、资金基本性质、用途....................................</w:t>
      </w:r>
      <w:r>
        <w:rPr>
          <w:rFonts w:hint="eastAsia" w:ascii="宋体" w:hAnsi="宋体" w:cs="宋体"/>
          <w:szCs w:val="21"/>
          <w:lang w:val="en-US" w:eastAsia="zh-CN"/>
        </w:rPr>
        <w:t>..............4</w:t>
      </w:r>
    </w:p>
    <w:p>
      <w:pPr>
        <w:spacing w:line="360" w:lineRule="exact"/>
        <w:ind w:firstLine="630" w:firstLineChars="300"/>
        <w:rPr>
          <w:rFonts w:hint="eastAsia" w:ascii="宋体" w:hAnsi="宋体" w:eastAsia="宋体" w:cs="宋体"/>
          <w:szCs w:val="21"/>
          <w:lang w:val="en-US" w:eastAsia="zh-CN"/>
        </w:rPr>
      </w:pPr>
      <w:r>
        <w:rPr>
          <w:rFonts w:hint="eastAsia" w:ascii="宋体" w:hAnsi="宋体" w:cs="宋体"/>
          <w:szCs w:val="21"/>
        </w:rPr>
        <w:t>2、预期收益及偿债资金来源..............................................</w:t>
      </w:r>
      <w:r>
        <w:rPr>
          <w:rFonts w:hint="eastAsia" w:ascii="宋体" w:hAnsi="宋体" w:cs="宋体"/>
          <w:szCs w:val="21"/>
          <w:lang w:val="en-US" w:eastAsia="zh-CN"/>
        </w:rPr>
        <w:t>5</w:t>
      </w:r>
    </w:p>
    <w:p>
      <w:pPr>
        <w:spacing w:line="360" w:lineRule="exact"/>
        <w:ind w:firstLine="630" w:firstLineChars="300"/>
        <w:rPr>
          <w:rFonts w:hint="eastAsia" w:ascii="宋体" w:hAnsi="宋体" w:eastAsia="宋体" w:cs="宋体"/>
          <w:szCs w:val="21"/>
          <w:lang w:val="en-US" w:eastAsia="zh-CN"/>
        </w:rPr>
      </w:pPr>
      <w:r>
        <w:rPr>
          <w:rFonts w:hint="eastAsia" w:ascii="宋体" w:hAnsi="宋体" w:cs="宋体"/>
          <w:szCs w:val="21"/>
        </w:rPr>
        <w:t>3、项目收支总体情况....................................................</w:t>
      </w:r>
      <w:r>
        <w:rPr>
          <w:rFonts w:hint="eastAsia" w:ascii="宋体" w:hAnsi="宋体" w:cs="宋体"/>
          <w:szCs w:val="21"/>
          <w:lang w:val="en-US" w:eastAsia="zh-CN"/>
        </w:rPr>
        <w:t>5</w:t>
      </w:r>
    </w:p>
    <w:p>
      <w:pPr>
        <w:spacing w:line="360" w:lineRule="exact"/>
        <w:ind w:firstLine="630" w:firstLineChars="300"/>
        <w:rPr>
          <w:rFonts w:hint="eastAsia" w:ascii="宋体" w:hAnsi="宋体" w:eastAsia="宋体" w:cs="宋体"/>
          <w:szCs w:val="21"/>
          <w:lang w:val="en-US" w:eastAsia="zh-CN"/>
        </w:rPr>
      </w:pPr>
      <w:r>
        <w:rPr>
          <w:rFonts w:hint="eastAsia" w:ascii="宋体" w:hAnsi="宋体" w:cs="宋体"/>
          <w:szCs w:val="21"/>
        </w:rPr>
        <w:t>4、资金来源及到帐情况..................................................</w:t>
      </w:r>
      <w:r>
        <w:rPr>
          <w:rFonts w:hint="eastAsia" w:ascii="宋体" w:hAnsi="宋体" w:cs="宋体"/>
          <w:szCs w:val="21"/>
          <w:lang w:val="en-US" w:eastAsia="zh-CN"/>
        </w:rPr>
        <w:t>5</w:t>
      </w:r>
    </w:p>
    <w:p>
      <w:pPr>
        <w:spacing w:line="360" w:lineRule="exact"/>
        <w:ind w:firstLine="630" w:firstLineChars="300"/>
        <w:rPr>
          <w:rFonts w:hint="eastAsia" w:ascii="宋体" w:hAnsi="宋体" w:eastAsia="宋体" w:cs="宋体"/>
          <w:szCs w:val="21"/>
          <w:lang w:val="en-US" w:eastAsia="zh-CN"/>
        </w:rPr>
      </w:pPr>
      <w:r>
        <w:rPr>
          <w:rFonts w:hint="eastAsia" w:ascii="宋体" w:hAnsi="宋体" w:cs="宋体"/>
          <w:szCs w:val="21"/>
          <w:lang w:val="en-US" w:eastAsia="zh-CN"/>
        </w:rPr>
        <w:t>5</w:t>
      </w:r>
      <w:r>
        <w:rPr>
          <w:rFonts w:hint="eastAsia" w:ascii="宋体" w:hAnsi="宋体" w:cs="宋体"/>
          <w:szCs w:val="21"/>
        </w:rPr>
        <w:t>、项目资金</w:t>
      </w:r>
      <w:r>
        <w:rPr>
          <w:rFonts w:hint="eastAsia" w:ascii="宋体" w:hAnsi="宋体" w:cs="宋体"/>
          <w:szCs w:val="21"/>
          <w:lang w:val="en-US" w:eastAsia="zh-CN"/>
        </w:rPr>
        <w:t>使用</w:t>
      </w:r>
      <w:r>
        <w:rPr>
          <w:rFonts w:hint="eastAsia" w:ascii="宋体" w:hAnsi="宋体" w:cs="宋体"/>
          <w:szCs w:val="21"/>
        </w:rPr>
        <w:t>情况....................................................</w:t>
      </w:r>
      <w:r>
        <w:rPr>
          <w:rFonts w:hint="eastAsia" w:ascii="宋体" w:hAnsi="宋体" w:cs="宋体"/>
          <w:szCs w:val="21"/>
          <w:lang w:val="en-US" w:eastAsia="zh-CN"/>
        </w:rPr>
        <w:t>5</w:t>
      </w:r>
    </w:p>
    <w:p>
      <w:pPr>
        <w:spacing w:line="360" w:lineRule="exact"/>
        <w:ind w:firstLine="420" w:firstLineChars="200"/>
        <w:rPr>
          <w:rFonts w:hint="eastAsia" w:ascii="宋体" w:hAnsi="宋体" w:eastAsia="宋体" w:cs="宋体"/>
          <w:szCs w:val="21"/>
          <w:lang w:val="en-US" w:eastAsia="zh-CN"/>
        </w:rPr>
      </w:pPr>
      <w:r>
        <w:rPr>
          <w:rFonts w:hint="eastAsia" w:ascii="宋体" w:hAnsi="宋体" w:cs="宋体"/>
          <w:szCs w:val="21"/>
        </w:rPr>
        <w:t>（三）资金与项目</w:t>
      </w:r>
      <w:r>
        <w:rPr>
          <w:rFonts w:hint="eastAsia" w:ascii="宋体" w:hAnsi="宋体" w:cs="宋体"/>
          <w:szCs w:val="21"/>
          <w:lang w:val="en-US" w:eastAsia="zh-CN"/>
        </w:rPr>
        <w:t>组织</w:t>
      </w:r>
      <w:r>
        <w:rPr>
          <w:rFonts w:hint="eastAsia" w:ascii="宋体" w:hAnsi="宋体" w:cs="宋体"/>
          <w:szCs w:val="21"/>
        </w:rPr>
        <w:t>管理情况.............................................</w:t>
      </w:r>
      <w:r>
        <w:rPr>
          <w:rFonts w:hint="eastAsia" w:ascii="宋体" w:hAnsi="宋体" w:cs="宋体"/>
          <w:szCs w:val="21"/>
          <w:lang w:val="en-US" w:eastAsia="zh-CN"/>
        </w:rPr>
        <w:t>8</w:t>
      </w:r>
    </w:p>
    <w:p>
      <w:pPr>
        <w:spacing w:line="360" w:lineRule="exact"/>
        <w:ind w:firstLine="630" w:firstLineChars="300"/>
        <w:rPr>
          <w:rFonts w:hint="eastAsia" w:ascii="宋体" w:hAnsi="宋体" w:eastAsia="宋体" w:cs="宋体"/>
          <w:szCs w:val="21"/>
          <w:lang w:val="en-US" w:eastAsia="zh-CN"/>
        </w:rPr>
      </w:pPr>
      <w:r>
        <w:rPr>
          <w:rFonts w:hint="eastAsia" w:ascii="宋体" w:hAnsi="宋体" w:cs="宋体"/>
          <w:szCs w:val="21"/>
        </w:rPr>
        <w:t>1、资金</w:t>
      </w:r>
      <w:r>
        <w:rPr>
          <w:rFonts w:hint="eastAsia" w:ascii="宋体" w:hAnsi="宋体" w:cs="宋体"/>
          <w:szCs w:val="21"/>
          <w:lang w:val="en-US" w:eastAsia="zh-CN"/>
        </w:rPr>
        <w:t>及项目</w:t>
      </w:r>
      <w:r>
        <w:rPr>
          <w:rFonts w:hint="eastAsia" w:ascii="宋体" w:hAnsi="宋体" w:cs="宋体"/>
          <w:szCs w:val="21"/>
        </w:rPr>
        <w:t>管理情况..................................................</w:t>
      </w:r>
      <w:r>
        <w:rPr>
          <w:rFonts w:hint="eastAsia" w:ascii="宋体" w:hAnsi="宋体" w:cs="宋体"/>
          <w:szCs w:val="21"/>
          <w:lang w:val="en-US" w:eastAsia="zh-CN"/>
        </w:rPr>
        <w:t>8</w:t>
      </w:r>
    </w:p>
    <w:p>
      <w:pPr>
        <w:spacing w:line="360" w:lineRule="exact"/>
        <w:ind w:firstLine="630" w:firstLineChars="300"/>
        <w:rPr>
          <w:rFonts w:hint="default" w:ascii="宋体" w:hAnsi="宋体" w:eastAsia="宋体" w:cs="宋体"/>
          <w:szCs w:val="21"/>
          <w:lang w:val="en-US" w:eastAsia="zh-CN"/>
        </w:rPr>
      </w:pPr>
      <w:r>
        <w:rPr>
          <w:rFonts w:hint="eastAsia" w:ascii="宋体" w:hAnsi="宋体" w:cs="宋体"/>
          <w:szCs w:val="21"/>
        </w:rPr>
        <w:t>2、制度建设情况....................................................</w:t>
      </w:r>
      <w:r>
        <w:rPr>
          <w:rFonts w:hint="eastAsia" w:ascii="宋体" w:hAnsi="宋体" w:cs="宋体"/>
          <w:szCs w:val="21"/>
          <w:lang w:val="en-US" w:eastAsia="zh-CN"/>
        </w:rPr>
        <w:t>....9</w:t>
      </w:r>
    </w:p>
    <w:p>
      <w:pPr>
        <w:spacing w:line="360" w:lineRule="exact"/>
        <w:ind w:firstLine="420" w:firstLineChars="200"/>
        <w:rPr>
          <w:rFonts w:hint="default" w:ascii="宋体" w:hAnsi="宋体" w:eastAsia="宋体" w:cs="宋体"/>
          <w:szCs w:val="21"/>
          <w:lang w:val="en-US" w:eastAsia="zh-CN"/>
        </w:rPr>
      </w:pPr>
      <w:r>
        <w:rPr>
          <w:rFonts w:hint="eastAsia" w:ascii="宋体" w:hAnsi="宋体" w:cs="宋体"/>
          <w:szCs w:val="21"/>
        </w:rPr>
        <w:t>（四）项目绩效目标.......................................................</w:t>
      </w:r>
      <w:r>
        <w:rPr>
          <w:rFonts w:hint="eastAsia" w:ascii="宋体" w:hAnsi="宋体" w:cs="宋体"/>
          <w:szCs w:val="21"/>
          <w:lang w:val="en-US" w:eastAsia="zh-CN"/>
        </w:rPr>
        <w:t>10</w:t>
      </w:r>
    </w:p>
    <w:p>
      <w:pPr>
        <w:spacing w:line="360" w:lineRule="exact"/>
        <w:ind w:firstLine="630" w:firstLineChars="300"/>
        <w:rPr>
          <w:rFonts w:hint="default" w:ascii="宋体" w:hAnsi="宋体" w:eastAsia="宋体" w:cs="宋体"/>
          <w:szCs w:val="21"/>
          <w:lang w:val="en-US" w:eastAsia="zh-CN"/>
        </w:rPr>
      </w:pPr>
      <w:r>
        <w:rPr>
          <w:rFonts w:hint="eastAsia" w:ascii="宋体" w:hAnsi="宋体" w:cs="宋体"/>
          <w:szCs w:val="21"/>
        </w:rPr>
        <w:t>1、总体目标............................................................</w:t>
      </w:r>
      <w:r>
        <w:rPr>
          <w:rFonts w:hint="eastAsia" w:ascii="宋体" w:hAnsi="宋体" w:cs="宋体"/>
          <w:szCs w:val="21"/>
          <w:lang w:val="en-US" w:eastAsia="zh-CN"/>
        </w:rPr>
        <w:t>10</w:t>
      </w:r>
    </w:p>
    <w:p>
      <w:pPr>
        <w:spacing w:line="360" w:lineRule="exact"/>
        <w:ind w:firstLine="630" w:firstLineChars="300"/>
        <w:rPr>
          <w:rFonts w:hint="default" w:ascii="宋体" w:hAnsi="宋体" w:eastAsia="宋体" w:cs="宋体"/>
          <w:szCs w:val="21"/>
          <w:lang w:val="en-US" w:eastAsia="zh-CN"/>
        </w:rPr>
      </w:pPr>
      <w:r>
        <w:rPr>
          <w:rFonts w:hint="eastAsia" w:ascii="宋体" w:hAnsi="宋体" w:cs="宋体"/>
          <w:szCs w:val="21"/>
        </w:rPr>
        <w:t>2、项目产出目标........................................................</w:t>
      </w:r>
      <w:r>
        <w:rPr>
          <w:rFonts w:hint="eastAsia" w:ascii="宋体" w:hAnsi="宋体" w:cs="宋体"/>
          <w:szCs w:val="21"/>
          <w:lang w:val="en-US" w:eastAsia="zh-CN"/>
        </w:rPr>
        <w:t>10</w:t>
      </w:r>
    </w:p>
    <w:p>
      <w:pPr>
        <w:spacing w:line="360" w:lineRule="exact"/>
        <w:ind w:firstLine="632" w:firstLineChars="300"/>
        <w:rPr>
          <w:rFonts w:hint="default" w:ascii="宋体" w:hAnsi="宋体" w:eastAsia="宋体" w:cs="宋体"/>
          <w:b/>
          <w:bCs/>
          <w:szCs w:val="21"/>
          <w:lang w:val="en-US" w:eastAsia="zh-CN"/>
        </w:rPr>
      </w:pPr>
      <w:r>
        <w:rPr>
          <w:rFonts w:hint="eastAsia" w:ascii="宋体" w:hAnsi="宋体" w:cs="宋体"/>
          <w:b/>
          <w:bCs/>
          <w:szCs w:val="21"/>
        </w:rPr>
        <w:t>二、绩效评价工作情况...................................................</w:t>
      </w:r>
      <w:r>
        <w:rPr>
          <w:rFonts w:hint="eastAsia" w:ascii="宋体" w:hAnsi="宋体" w:cs="宋体"/>
          <w:b/>
          <w:bCs/>
          <w:szCs w:val="21"/>
          <w:lang w:val="en-US" w:eastAsia="zh-CN"/>
        </w:rPr>
        <w:t>11</w:t>
      </w:r>
    </w:p>
    <w:p>
      <w:pPr>
        <w:spacing w:line="360" w:lineRule="exact"/>
        <w:ind w:firstLine="420" w:firstLineChars="200"/>
        <w:rPr>
          <w:rFonts w:hint="default" w:ascii="宋体" w:hAnsi="宋体" w:eastAsia="宋体" w:cs="宋体"/>
          <w:szCs w:val="21"/>
          <w:lang w:val="en-US" w:eastAsia="zh-CN"/>
        </w:rPr>
      </w:pPr>
      <w:r>
        <w:rPr>
          <w:rFonts w:hint="eastAsia" w:ascii="宋体" w:hAnsi="宋体" w:cs="宋体"/>
          <w:szCs w:val="21"/>
        </w:rPr>
        <w:t>（</w:t>
      </w:r>
      <w:r>
        <w:rPr>
          <w:rFonts w:hint="eastAsia" w:ascii="宋体" w:hAnsi="宋体" w:cs="宋体"/>
          <w:szCs w:val="21"/>
          <w:lang w:val="en-US" w:eastAsia="zh-CN"/>
        </w:rPr>
        <w:t>一</w:t>
      </w:r>
      <w:r>
        <w:rPr>
          <w:rFonts w:hint="eastAsia" w:ascii="宋体" w:hAnsi="宋体" w:cs="宋体"/>
          <w:szCs w:val="21"/>
        </w:rPr>
        <w:t>）</w:t>
      </w:r>
      <w:r>
        <w:rPr>
          <w:rFonts w:hint="eastAsia" w:ascii="宋体" w:hAnsi="宋体" w:cs="宋体"/>
          <w:szCs w:val="21"/>
          <w:lang w:val="en-US" w:eastAsia="zh-CN"/>
        </w:rPr>
        <w:t>绩效评价目的.......................................................11</w:t>
      </w:r>
    </w:p>
    <w:p>
      <w:pPr>
        <w:spacing w:line="360" w:lineRule="exact"/>
        <w:ind w:firstLine="420" w:firstLineChars="200"/>
        <w:rPr>
          <w:rFonts w:hint="default" w:ascii="宋体" w:hAnsi="宋体" w:eastAsia="宋体" w:cs="宋体"/>
          <w:szCs w:val="21"/>
          <w:lang w:val="en-US" w:eastAsia="zh-CN"/>
        </w:rPr>
      </w:pPr>
      <w:r>
        <w:rPr>
          <w:rFonts w:hint="eastAsia" w:ascii="宋体" w:hAnsi="宋体" w:cs="宋体"/>
          <w:szCs w:val="21"/>
          <w:lang w:eastAsia="zh-CN"/>
        </w:rPr>
        <w:t>（</w:t>
      </w:r>
      <w:r>
        <w:rPr>
          <w:rFonts w:hint="eastAsia" w:ascii="宋体" w:hAnsi="宋体" w:cs="宋体"/>
          <w:szCs w:val="21"/>
          <w:lang w:val="en-US" w:eastAsia="zh-CN"/>
        </w:rPr>
        <w:t>二）</w:t>
      </w:r>
      <w:r>
        <w:rPr>
          <w:rFonts w:hint="eastAsia" w:ascii="宋体" w:hAnsi="宋体" w:cs="宋体"/>
          <w:szCs w:val="21"/>
        </w:rPr>
        <w:t>绩效评价对象、范围与时段...........................................</w:t>
      </w:r>
      <w:r>
        <w:rPr>
          <w:rFonts w:hint="eastAsia" w:ascii="宋体" w:hAnsi="宋体" w:cs="宋体"/>
          <w:szCs w:val="21"/>
          <w:lang w:val="en-US" w:eastAsia="zh-CN"/>
        </w:rPr>
        <w:t>12</w:t>
      </w:r>
    </w:p>
    <w:p>
      <w:pPr>
        <w:spacing w:line="360" w:lineRule="exact"/>
        <w:ind w:firstLine="630" w:firstLineChars="300"/>
        <w:rPr>
          <w:rFonts w:hint="default" w:ascii="宋体" w:hAnsi="宋体" w:eastAsia="宋体" w:cs="宋体"/>
          <w:szCs w:val="21"/>
          <w:lang w:val="en-US" w:eastAsia="zh-CN"/>
        </w:rPr>
      </w:pPr>
      <w:r>
        <w:rPr>
          <w:rFonts w:hint="eastAsia" w:ascii="宋体" w:hAnsi="宋体" w:cs="宋体"/>
          <w:szCs w:val="21"/>
        </w:rPr>
        <w:t>1、评价对象............................................................</w:t>
      </w:r>
      <w:r>
        <w:rPr>
          <w:rFonts w:hint="eastAsia" w:ascii="宋体" w:hAnsi="宋体" w:cs="宋体"/>
          <w:szCs w:val="21"/>
          <w:lang w:val="en-US" w:eastAsia="zh-CN"/>
        </w:rPr>
        <w:t>12</w:t>
      </w:r>
    </w:p>
    <w:p>
      <w:pPr>
        <w:spacing w:line="360" w:lineRule="exact"/>
        <w:ind w:firstLine="630" w:firstLineChars="300"/>
        <w:rPr>
          <w:rFonts w:hint="default" w:ascii="宋体" w:hAnsi="宋体" w:eastAsia="宋体" w:cs="宋体"/>
          <w:szCs w:val="21"/>
          <w:lang w:val="en-US" w:eastAsia="zh-CN"/>
        </w:rPr>
      </w:pPr>
      <w:r>
        <w:rPr>
          <w:rFonts w:hint="eastAsia" w:ascii="宋体" w:hAnsi="宋体" w:cs="宋体"/>
          <w:szCs w:val="21"/>
        </w:rPr>
        <w:t>2、评价范围及时段......................................................</w:t>
      </w:r>
      <w:r>
        <w:rPr>
          <w:rFonts w:hint="eastAsia" w:ascii="宋体" w:hAnsi="宋体" w:cs="宋体"/>
          <w:szCs w:val="21"/>
          <w:lang w:val="en-US" w:eastAsia="zh-CN"/>
        </w:rPr>
        <w:t>12</w:t>
      </w:r>
    </w:p>
    <w:p>
      <w:pPr>
        <w:spacing w:line="360" w:lineRule="exact"/>
        <w:ind w:firstLine="630" w:firstLineChars="300"/>
        <w:rPr>
          <w:rFonts w:hint="default" w:ascii="宋体" w:hAnsi="宋体" w:eastAsia="宋体" w:cs="宋体"/>
          <w:szCs w:val="21"/>
          <w:lang w:val="en-US" w:eastAsia="zh-CN"/>
        </w:rPr>
      </w:pPr>
      <w:r>
        <w:rPr>
          <w:rFonts w:hint="eastAsia" w:ascii="宋体" w:hAnsi="宋体" w:cs="宋体"/>
          <w:szCs w:val="21"/>
        </w:rPr>
        <w:t>3、评价主要内容........................................................</w:t>
      </w:r>
      <w:r>
        <w:rPr>
          <w:rFonts w:hint="eastAsia" w:ascii="宋体" w:hAnsi="宋体" w:cs="宋体"/>
          <w:szCs w:val="21"/>
          <w:lang w:val="en-US" w:eastAsia="zh-CN"/>
        </w:rPr>
        <w:t>12</w:t>
      </w:r>
    </w:p>
    <w:p>
      <w:pPr>
        <w:spacing w:line="360" w:lineRule="exact"/>
        <w:ind w:firstLine="420" w:firstLineChars="200"/>
        <w:rPr>
          <w:rFonts w:hint="default" w:ascii="宋体" w:hAnsi="宋体" w:eastAsia="宋体" w:cs="宋体"/>
          <w:szCs w:val="21"/>
          <w:lang w:val="en-US" w:eastAsia="zh-CN"/>
        </w:rPr>
      </w:pPr>
      <w:r>
        <w:rPr>
          <w:rFonts w:hint="eastAsia" w:ascii="宋体" w:hAnsi="宋体" w:cs="宋体"/>
          <w:szCs w:val="21"/>
        </w:rPr>
        <w:t>（</w:t>
      </w:r>
      <w:r>
        <w:rPr>
          <w:rFonts w:hint="eastAsia" w:ascii="宋体" w:hAnsi="宋体" w:cs="宋体"/>
          <w:szCs w:val="21"/>
          <w:lang w:val="en-US" w:eastAsia="zh-CN"/>
        </w:rPr>
        <w:t>三</w:t>
      </w:r>
      <w:r>
        <w:rPr>
          <w:rFonts w:hint="eastAsia" w:ascii="宋体" w:hAnsi="宋体" w:cs="宋体"/>
          <w:szCs w:val="21"/>
        </w:rPr>
        <w:t>）绩效评价主要依据...................................................</w:t>
      </w:r>
      <w:r>
        <w:rPr>
          <w:rFonts w:hint="eastAsia" w:ascii="宋体" w:hAnsi="宋体" w:cs="宋体"/>
          <w:szCs w:val="21"/>
          <w:lang w:val="en-US" w:eastAsia="zh-CN"/>
        </w:rPr>
        <w:t>12</w:t>
      </w:r>
    </w:p>
    <w:p>
      <w:pPr>
        <w:spacing w:line="360" w:lineRule="exact"/>
        <w:ind w:firstLine="630" w:firstLineChars="300"/>
        <w:rPr>
          <w:rFonts w:hint="default" w:ascii="宋体" w:hAnsi="宋体" w:eastAsia="宋体" w:cs="宋体"/>
          <w:szCs w:val="21"/>
          <w:lang w:val="en-US" w:eastAsia="zh-CN"/>
        </w:rPr>
      </w:pPr>
      <w:r>
        <w:rPr>
          <w:rFonts w:hint="eastAsia" w:ascii="宋体" w:hAnsi="宋体" w:cs="宋体"/>
          <w:szCs w:val="21"/>
        </w:rPr>
        <w:t>1、绩效管理相关依据....................................................</w:t>
      </w:r>
      <w:r>
        <w:rPr>
          <w:rFonts w:hint="eastAsia" w:ascii="宋体" w:hAnsi="宋体" w:cs="宋体"/>
          <w:szCs w:val="21"/>
          <w:lang w:val="en-US" w:eastAsia="zh-CN"/>
        </w:rPr>
        <w:t>12</w:t>
      </w:r>
    </w:p>
    <w:p>
      <w:pPr>
        <w:spacing w:line="360" w:lineRule="exact"/>
        <w:ind w:firstLine="630" w:firstLineChars="300"/>
        <w:rPr>
          <w:rFonts w:hint="default" w:ascii="宋体" w:hAnsi="宋体" w:eastAsia="宋体" w:cs="宋体"/>
          <w:szCs w:val="21"/>
          <w:lang w:val="en-US" w:eastAsia="zh-CN"/>
        </w:rPr>
      </w:pPr>
      <w:r>
        <w:rPr>
          <w:rFonts w:hint="eastAsia" w:ascii="宋体" w:hAnsi="宋体" w:cs="宋体"/>
          <w:szCs w:val="21"/>
        </w:rPr>
        <w:t xml:space="preserve">2、专项债券资金及项目管理相关文件..................................... </w:t>
      </w:r>
      <w:r>
        <w:rPr>
          <w:rFonts w:hint="eastAsia" w:ascii="宋体" w:hAnsi="宋体" w:cs="宋体"/>
          <w:szCs w:val="21"/>
          <w:lang w:val="en-US" w:eastAsia="zh-CN"/>
        </w:rPr>
        <w:t>12</w:t>
      </w:r>
    </w:p>
    <w:p>
      <w:pPr>
        <w:spacing w:line="360" w:lineRule="exact"/>
        <w:ind w:firstLine="630" w:firstLineChars="300"/>
        <w:rPr>
          <w:rFonts w:hint="default" w:ascii="宋体" w:hAnsi="宋体" w:eastAsia="宋体" w:cs="宋体"/>
          <w:szCs w:val="21"/>
          <w:lang w:val="en-US" w:eastAsia="zh-CN"/>
        </w:rPr>
      </w:pPr>
      <w:r>
        <w:rPr>
          <w:rFonts w:hint="eastAsia" w:ascii="宋体" w:hAnsi="宋体" w:cs="宋体"/>
          <w:szCs w:val="21"/>
        </w:rPr>
        <w:t>3、</w:t>
      </w:r>
      <w:r>
        <w:rPr>
          <w:rFonts w:hint="eastAsia" w:ascii="宋体" w:hAnsi="宋体" w:cs="宋体"/>
          <w:szCs w:val="21"/>
          <w:lang w:val="en-US" w:eastAsia="zh-CN"/>
        </w:rPr>
        <w:t>行业相关建设标准及技术规范..........................................13</w:t>
      </w:r>
    </w:p>
    <w:p>
      <w:pPr>
        <w:spacing w:line="360" w:lineRule="exact"/>
        <w:ind w:firstLine="630" w:firstLineChars="300"/>
        <w:rPr>
          <w:rFonts w:hint="default" w:ascii="宋体" w:hAnsi="宋体" w:eastAsia="宋体" w:cs="宋体"/>
          <w:szCs w:val="21"/>
          <w:lang w:val="en-US" w:eastAsia="zh-CN"/>
        </w:rPr>
      </w:pPr>
      <w:r>
        <w:rPr>
          <w:rFonts w:hint="eastAsia" w:ascii="宋体" w:hAnsi="宋体" w:cs="宋体"/>
          <w:szCs w:val="21"/>
          <w:lang w:val="en-US" w:eastAsia="zh-CN"/>
        </w:rPr>
        <w:t>4、</w:t>
      </w:r>
      <w:r>
        <w:rPr>
          <w:rFonts w:hint="eastAsia" w:ascii="宋体" w:hAnsi="宋体" w:cs="宋体"/>
          <w:szCs w:val="21"/>
        </w:rPr>
        <w:t>项目其他相关资料....................................................</w:t>
      </w:r>
      <w:r>
        <w:rPr>
          <w:rFonts w:hint="eastAsia" w:ascii="宋体" w:hAnsi="宋体" w:cs="宋体"/>
          <w:szCs w:val="21"/>
          <w:lang w:val="en-US" w:eastAsia="zh-CN"/>
        </w:rPr>
        <w:t>13</w:t>
      </w:r>
    </w:p>
    <w:p>
      <w:pPr>
        <w:spacing w:line="360" w:lineRule="exact"/>
        <w:ind w:firstLine="420" w:firstLineChars="200"/>
        <w:rPr>
          <w:rFonts w:hint="eastAsia" w:ascii="宋体" w:hAnsi="宋体" w:eastAsia="宋体" w:cs="宋体"/>
          <w:szCs w:val="21"/>
          <w:lang w:val="en-US" w:eastAsia="zh-CN"/>
        </w:rPr>
      </w:pPr>
      <w:r>
        <w:rPr>
          <w:rFonts w:hint="eastAsia" w:ascii="宋体" w:hAnsi="宋体" w:cs="宋体"/>
          <w:szCs w:val="21"/>
        </w:rPr>
        <w:t>（</w:t>
      </w:r>
      <w:r>
        <w:rPr>
          <w:rFonts w:hint="eastAsia" w:ascii="宋体" w:hAnsi="宋体" w:cs="宋体"/>
          <w:szCs w:val="21"/>
          <w:lang w:val="en-US" w:eastAsia="zh-CN"/>
        </w:rPr>
        <w:t>四</w:t>
      </w:r>
      <w:r>
        <w:rPr>
          <w:rFonts w:hint="eastAsia" w:ascii="宋体" w:hAnsi="宋体" w:cs="宋体"/>
          <w:szCs w:val="21"/>
        </w:rPr>
        <w:t>）绩效评价原则、指标体系与评价方法...................................1</w:t>
      </w:r>
      <w:r>
        <w:rPr>
          <w:rFonts w:hint="eastAsia" w:ascii="宋体" w:hAnsi="宋体" w:cs="宋体"/>
          <w:szCs w:val="21"/>
          <w:lang w:val="en-US" w:eastAsia="zh-CN"/>
        </w:rPr>
        <w:t>3</w:t>
      </w:r>
    </w:p>
    <w:p>
      <w:pPr>
        <w:spacing w:line="360" w:lineRule="exact"/>
        <w:ind w:firstLine="630" w:firstLineChars="300"/>
        <w:rPr>
          <w:rFonts w:hint="eastAsia" w:ascii="宋体" w:hAnsi="宋体" w:eastAsia="宋体" w:cs="宋体"/>
          <w:szCs w:val="21"/>
          <w:lang w:val="en-US" w:eastAsia="zh-CN"/>
        </w:rPr>
      </w:pPr>
      <w:r>
        <w:rPr>
          <w:rFonts w:hint="eastAsia" w:ascii="宋体" w:hAnsi="宋体" w:cs="宋体"/>
          <w:szCs w:val="21"/>
        </w:rPr>
        <w:t>1、绩效评价原则........................................................1</w:t>
      </w:r>
      <w:r>
        <w:rPr>
          <w:rFonts w:hint="eastAsia" w:ascii="宋体" w:hAnsi="宋体" w:cs="宋体"/>
          <w:szCs w:val="21"/>
          <w:lang w:val="en-US" w:eastAsia="zh-CN"/>
        </w:rPr>
        <w:t>3</w:t>
      </w:r>
    </w:p>
    <w:p>
      <w:pPr>
        <w:spacing w:line="360" w:lineRule="exact"/>
        <w:ind w:firstLine="630" w:firstLineChars="300"/>
        <w:rPr>
          <w:rFonts w:hint="eastAsia" w:ascii="宋体" w:hAnsi="宋体" w:eastAsia="宋体" w:cs="宋体"/>
          <w:szCs w:val="21"/>
          <w:lang w:val="en-US" w:eastAsia="zh-CN"/>
        </w:rPr>
      </w:pPr>
      <w:r>
        <w:rPr>
          <w:rFonts w:hint="eastAsia" w:ascii="宋体" w:hAnsi="宋体" w:cs="宋体"/>
          <w:szCs w:val="21"/>
        </w:rPr>
        <w:t>2、指标体系............................................................1</w:t>
      </w:r>
      <w:r>
        <w:rPr>
          <w:rFonts w:hint="eastAsia" w:ascii="宋体" w:hAnsi="宋体" w:cs="宋体"/>
          <w:szCs w:val="21"/>
          <w:lang w:val="en-US" w:eastAsia="zh-CN"/>
        </w:rPr>
        <w:t>3</w:t>
      </w:r>
    </w:p>
    <w:p>
      <w:pPr>
        <w:spacing w:line="360" w:lineRule="exact"/>
        <w:ind w:firstLine="630" w:firstLineChars="300"/>
        <w:rPr>
          <w:rFonts w:hint="default" w:ascii="宋体" w:hAnsi="宋体" w:eastAsia="宋体" w:cs="宋体"/>
          <w:szCs w:val="21"/>
          <w:lang w:val="en-US" w:eastAsia="zh-CN"/>
        </w:rPr>
      </w:pPr>
      <w:r>
        <w:rPr>
          <w:rFonts w:hint="eastAsia" w:ascii="宋体" w:hAnsi="宋体" w:cs="宋体"/>
          <w:szCs w:val="21"/>
        </w:rPr>
        <w:t>3、评价标准............................................................</w:t>
      </w:r>
      <w:r>
        <w:rPr>
          <w:rFonts w:hint="eastAsia" w:ascii="宋体" w:hAnsi="宋体" w:cs="宋体"/>
          <w:szCs w:val="21"/>
          <w:lang w:val="en-US" w:eastAsia="zh-CN"/>
        </w:rPr>
        <w:t>13</w:t>
      </w:r>
    </w:p>
    <w:p>
      <w:pPr>
        <w:spacing w:line="360" w:lineRule="exact"/>
        <w:ind w:firstLine="630" w:firstLineChars="300"/>
        <w:rPr>
          <w:rFonts w:hint="eastAsia" w:ascii="宋体" w:hAnsi="宋体" w:eastAsia="宋体" w:cs="宋体"/>
          <w:szCs w:val="21"/>
          <w:lang w:val="en-US" w:eastAsia="zh-CN"/>
        </w:rPr>
        <w:sectPr>
          <w:headerReference r:id="rId5" w:type="default"/>
          <w:footerReference r:id="rId6" w:type="default"/>
          <w:pgSz w:w="11906" w:h="16838"/>
          <w:pgMar w:top="1440" w:right="1644" w:bottom="1247" w:left="1644" w:header="851" w:footer="992" w:gutter="0"/>
          <w:pgNumType w:start="1"/>
          <w:cols w:space="720" w:num="1"/>
          <w:docGrid w:type="lines" w:linePitch="312" w:charSpace="0"/>
        </w:sectPr>
      </w:pPr>
      <w:r>
        <w:rPr>
          <w:rFonts w:hint="eastAsia" w:ascii="宋体" w:hAnsi="宋体" w:cs="宋体"/>
          <w:szCs w:val="21"/>
        </w:rPr>
        <w:t>4、评价方法............................................................1</w:t>
      </w:r>
      <w:r>
        <w:rPr>
          <w:rFonts w:hint="eastAsia" w:ascii="宋体" w:hAnsi="宋体" w:cs="宋体"/>
          <w:szCs w:val="21"/>
          <w:lang w:val="en-US" w:eastAsia="zh-CN"/>
        </w:rPr>
        <w:t>4</w:t>
      </w:r>
    </w:p>
    <w:p>
      <w:pPr>
        <w:spacing w:line="360" w:lineRule="exact"/>
        <w:ind w:firstLine="420" w:firstLineChars="200"/>
        <w:rPr>
          <w:rFonts w:hint="eastAsia" w:ascii="宋体" w:hAnsi="宋体" w:eastAsia="宋体" w:cs="宋体"/>
          <w:szCs w:val="21"/>
          <w:lang w:val="en-US" w:eastAsia="zh-CN"/>
        </w:rPr>
      </w:pPr>
      <w:r>
        <w:rPr>
          <w:rFonts w:hint="eastAsia" w:ascii="宋体" w:hAnsi="宋体" w:cs="宋体"/>
          <w:szCs w:val="21"/>
        </w:rPr>
        <w:t>（</w:t>
      </w:r>
      <w:r>
        <w:rPr>
          <w:rFonts w:hint="eastAsia" w:ascii="宋体" w:hAnsi="宋体" w:cs="宋体"/>
          <w:szCs w:val="21"/>
          <w:lang w:val="en-US" w:eastAsia="zh-CN"/>
        </w:rPr>
        <w:t>五</w:t>
      </w:r>
      <w:r>
        <w:rPr>
          <w:rFonts w:hint="eastAsia" w:ascii="宋体" w:hAnsi="宋体" w:cs="宋体"/>
          <w:szCs w:val="21"/>
        </w:rPr>
        <w:t>）绩效评价实施过程................................................</w:t>
      </w:r>
      <w:r>
        <w:rPr>
          <w:rFonts w:hint="eastAsia" w:ascii="宋体" w:hAnsi="宋体" w:cs="宋体"/>
          <w:szCs w:val="21"/>
          <w:lang w:val="en-US" w:eastAsia="zh-CN"/>
        </w:rPr>
        <w:t>..</w:t>
      </w:r>
      <w:r>
        <w:rPr>
          <w:rFonts w:hint="eastAsia" w:ascii="宋体" w:hAnsi="宋体" w:cs="宋体"/>
          <w:szCs w:val="21"/>
        </w:rPr>
        <w:t>1</w:t>
      </w:r>
      <w:r>
        <w:rPr>
          <w:rFonts w:hint="eastAsia" w:ascii="宋体" w:hAnsi="宋体" w:cs="宋体"/>
          <w:szCs w:val="21"/>
          <w:lang w:val="en-US" w:eastAsia="zh-CN"/>
        </w:rPr>
        <w:t>4</w:t>
      </w:r>
    </w:p>
    <w:p>
      <w:pPr>
        <w:spacing w:line="360" w:lineRule="exact"/>
        <w:ind w:firstLine="630" w:firstLineChars="300"/>
        <w:rPr>
          <w:rFonts w:hint="eastAsia" w:ascii="宋体" w:hAnsi="宋体" w:eastAsia="宋体" w:cs="宋体"/>
          <w:szCs w:val="21"/>
          <w:lang w:val="en-US" w:eastAsia="zh-CN"/>
        </w:rPr>
      </w:pPr>
      <w:r>
        <w:rPr>
          <w:rFonts w:hint="eastAsia" w:ascii="宋体" w:hAnsi="宋体" w:cs="宋体"/>
          <w:szCs w:val="21"/>
        </w:rPr>
        <w:t>1、前期准备...........................................................1</w:t>
      </w:r>
      <w:r>
        <w:rPr>
          <w:rFonts w:hint="eastAsia" w:ascii="宋体" w:hAnsi="宋体" w:cs="宋体"/>
          <w:szCs w:val="21"/>
          <w:lang w:val="en-US" w:eastAsia="zh-CN"/>
        </w:rPr>
        <w:t>4</w:t>
      </w:r>
    </w:p>
    <w:p>
      <w:pPr>
        <w:spacing w:line="360" w:lineRule="exact"/>
        <w:ind w:firstLine="630" w:firstLineChars="300"/>
        <w:rPr>
          <w:rFonts w:hint="eastAsia" w:ascii="宋体" w:hAnsi="宋体" w:eastAsia="宋体" w:cs="宋体"/>
          <w:szCs w:val="21"/>
          <w:lang w:val="en-US" w:eastAsia="zh-CN"/>
        </w:rPr>
      </w:pPr>
      <w:r>
        <w:rPr>
          <w:rFonts w:hint="eastAsia" w:ascii="宋体" w:hAnsi="宋体" w:cs="宋体"/>
          <w:szCs w:val="21"/>
        </w:rPr>
        <w:t>2、具体实施情况.......................................................1</w:t>
      </w:r>
      <w:r>
        <w:rPr>
          <w:rFonts w:hint="eastAsia" w:ascii="宋体" w:hAnsi="宋体" w:cs="宋体"/>
          <w:szCs w:val="21"/>
          <w:lang w:val="en-US" w:eastAsia="zh-CN"/>
        </w:rPr>
        <w:t>4</w:t>
      </w:r>
    </w:p>
    <w:p>
      <w:pPr>
        <w:spacing w:line="360" w:lineRule="exact"/>
        <w:ind w:firstLine="630" w:firstLineChars="300"/>
        <w:rPr>
          <w:rFonts w:hint="default" w:ascii="宋体" w:hAnsi="宋体" w:eastAsia="宋体" w:cs="宋体"/>
          <w:szCs w:val="21"/>
          <w:lang w:val="en-US" w:eastAsia="zh-CN"/>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分析评价...........................................................15</w:t>
      </w:r>
    </w:p>
    <w:p>
      <w:pPr>
        <w:spacing w:line="360" w:lineRule="exact"/>
        <w:ind w:firstLine="630" w:firstLineChars="300"/>
        <w:rPr>
          <w:rFonts w:hint="eastAsia" w:ascii="宋体" w:hAnsi="宋体" w:eastAsia="宋体" w:cs="宋体"/>
          <w:szCs w:val="21"/>
          <w:lang w:val="en-US" w:eastAsia="zh-CN"/>
        </w:rPr>
      </w:pPr>
      <w:r>
        <w:rPr>
          <w:rFonts w:hint="eastAsia" w:ascii="宋体" w:hAnsi="宋体" w:cs="宋体"/>
          <w:szCs w:val="21"/>
        </w:rPr>
        <w:t>绩效评价报告报送...................................................</w:t>
      </w:r>
      <w:r>
        <w:rPr>
          <w:rFonts w:hint="eastAsia" w:ascii="宋体" w:hAnsi="宋体" w:cs="宋体"/>
          <w:szCs w:val="21"/>
          <w:lang w:val="en-US" w:eastAsia="zh-CN"/>
        </w:rPr>
        <w:t xml:space="preserve">   </w:t>
      </w:r>
      <w:r>
        <w:rPr>
          <w:rFonts w:hint="eastAsia" w:ascii="宋体" w:hAnsi="宋体" w:cs="宋体"/>
          <w:szCs w:val="21"/>
        </w:rPr>
        <w:t>1</w:t>
      </w:r>
      <w:r>
        <w:rPr>
          <w:rFonts w:hint="eastAsia" w:ascii="宋体" w:hAnsi="宋体" w:cs="宋体"/>
          <w:szCs w:val="21"/>
          <w:lang w:val="en-US" w:eastAsia="zh-CN"/>
        </w:rPr>
        <w:t>6</w:t>
      </w:r>
    </w:p>
    <w:p>
      <w:pPr>
        <w:spacing w:line="360" w:lineRule="exact"/>
        <w:ind w:firstLine="632" w:firstLineChars="300"/>
        <w:rPr>
          <w:rFonts w:hint="eastAsia" w:ascii="宋体" w:hAnsi="宋体" w:eastAsia="宋体" w:cs="宋体"/>
          <w:b/>
          <w:bCs/>
          <w:szCs w:val="21"/>
          <w:lang w:val="en-US" w:eastAsia="zh-CN"/>
        </w:rPr>
      </w:pPr>
      <w:r>
        <w:rPr>
          <w:rFonts w:hint="eastAsia" w:ascii="宋体" w:hAnsi="宋体" w:cs="宋体"/>
          <w:b/>
          <w:bCs/>
          <w:szCs w:val="21"/>
        </w:rPr>
        <w:t>三、绩效评价结论和主要绩效..........................................</w:t>
      </w:r>
      <w:r>
        <w:rPr>
          <w:rFonts w:hint="eastAsia" w:ascii="宋体" w:hAnsi="宋体" w:cs="宋体"/>
          <w:b/>
          <w:bCs/>
          <w:szCs w:val="21"/>
          <w:lang w:val="en-US" w:eastAsia="zh-CN"/>
        </w:rPr>
        <w:t>..</w:t>
      </w:r>
      <w:r>
        <w:rPr>
          <w:rFonts w:hint="eastAsia" w:ascii="宋体" w:hAnsi="宋体" w:cs="宋体"/>
          <w:b/>
          <w:bCs/>
          <w:szCs w:val="21"/>
        </w:rPr>
        <w:t>1</w:t>
      </w:r>
      <w:r>
        <w:rPr>
          <w:rFonts w:hint="eastAsia" w:ascii="宋体" w:hAnsi="宋体" w:cs="宋体"/>
          <w:b/>
          <w:bCs/>
          <w:szCs w:val="21"/>
          <w:lang w:val="en-US" w:eastAsia="zh-CN"/>
        </w:rPr>
        <w:t>6</w:t>
      </w:r>
    </w:p>
    <w:p>
      <w:pPr>
        <w:spacing w:line="360" w:lineRule="exact"/>
        <w:ind w:firstLine="630" w:firstLineChars="300"/>
        <w:rPr>
          <w:rFonts w:hint="eastAsia" w:ascii="宋体" w:hAnsi="宋体" w:eastAsia="宋体" w:cs="宋体"/>
          <w:szCs w:val="21"/>
          <w:lang w:val="en-US" w:eastAsia="zh-CN"/>
        </w:rPr>
      </w:pPr>
      <w:r>
        <w:rPr>
          <w:rFonts w:hint="eastAsia" w:ascii="宋体" w:hAnsi="宋体" w:cs="宋体"/>
          <w:szCs w:val="21"/>
        </w:rPr>
        <w:t>（一）评价结论....................................................... 1</w:t>
      </w:r>
      <w:r>
        <w:rPr>
          <w:rFonts w:hint="eastAsia" w:ascii="宋体" w:hAnsi="宋体" w:cs="宋体"/>
          <w:szCs w:val="21"/>
          <w:lang w:val="en-US" w:eastAsia="zh-CN"/>
        </w:rPr>
        <w:t>6</w:t>
      </w:r>
    </w:p>
    <w:p>
      <w:pPr>
        <w:spacing w:line="360" w:lineRule="exact"/>
        <w:ind w:firstLine="630" w:firstLineChars="300"/>
        <w:rPr>
          <w:rFonts w:hint="eastAsia" w:ascii="宋体" w:hAnsi="宋体" w:eastAsia="宋体" w:cs="宋体"/>
          <w:szCs w:val="21"/>
          <w:lang w:val="en-US" w:eastAsia="zh-CN"/>
        </w:rPr>
      </w:pPr>
      <w:r>
        <w:rPr>
          <w:rFonts w:hint="eastAsia" w:ascii="宋体" w:hAnsi="宋体" w:cs="宋体"/>
          <w:szCs w:val="21"/>
        </w:rPr>
        <w:t>（二）主要绩效....................................................... 1</w:t>
      </w:r>
      <w:r>
        <w:rPr>
          <w:rFonts w:hint="eastAsia" w:ascii="宋体" w:hAnsi="宋体" w:cs="宋体"/>
          <w:szCs w:val="21"/>
          <w:lang w:val="en-US" w:eastAsia="zh-CN"/>
        </w:rPr>
        <w:t>6</w:t>
      </w:r>
    </w:p>
    <w:p>
      <w:pPr>
        <w:spacing w:line="360" w:lineRule="exact"/>
        <w:ind w:firstLine="630" w:firstLineChars="300"/>
        <w:rPr>
          <w:rFonts w:hint="eastAsia" w:ascii="宋体" w:hAnsi="宋体" w:eastAsia="宋体" w:cs="宋体"/>
          <w:szCs w:val="21"/>
          <w:lang w:val="en-US" w:eastAsia="zh-CN"/>
        </w:rPr>
      </w:pPr>
      <w:r>
        <w:rPr>
          <w:rFonts w:hint="eastAsia" w:ascii="宋体" w:hAnsi="宋体" w:cs="宋体"/>
          <w:szCs w:val="21"/>
        </w:rPr>
        <w:t>四、</w:t>
      </w:r>
      <w:r>
        <w:rPr>
          <w:rFonts w:hint="eastAsia" w:ascii="宋体" w:hAnsi="宋体" w:cs="宋体"/>
          <w:b/>
          <w:bCs/>
          <w:szCs w:val="21"/>
        </w:rPr>
        <w:t>绩效指标分析.....................................................</w:t>
      </w:r>
      <w:r>
        <w:rPr>
          <w:rFonts w:hint="eastAsia" w:ascii="宋体" w:hAnsi="宋体" w:cs="宋体"/>
          <w:b/>
          <w:bCs/>
          <w:szCs w:val="21"/>
          <w:lang w:val="en-US" w:eastAsia="zh-CN"/>
        </w:rPr>
        <w:t>.</w:t>
      </w:r>
      <w:r>
        <w:rPr>
          <w:rFonts w:hint="eastAsia" w:ascii="宋体" w:hAnsi="宋体" w:cs="宋体"/>
          <w:b/>
          <w:bCs/>
          <w:szCs w:val="21"/>
        </w:rPr>
        <w:t>1</w:t>
      </w:r>
      <w:r>
        <w:rPr>
          <w:rFonts w:hint="eastAsia" w:ascii="宋体" w:hAnsi="宋体" w:cs="宋体"/>
          <w:b/>
          <w:bCs/>
          <w:szCs w:val="21"/>
          <w:lang w:val="en-US" w:eastAsia="zh-CN"/>
        </w:rPr>
        <w:t>7</w:t>
      </w:r>
    </w:p>
    <w:p>
      <w:pPr>
        <w:spacing w:line="360" w:lineRule="exact"/>
        <w:ind w:firstLine="630" w:firstLineChars="300"/>
        <w:rPr>
          <w:rFonts w:hint="eastAsia" w:ascii="宋体" w:hAnsi="宋体" w:eastAsia="宋体" w:cs="宋体"/>
          <w:szCs w:val="21"/>
          <w:lang w:val="en-US" w:eastAsia="zh-CN"/>
        </w:rPr>
      </w:pPr>
      <w:r>
        <w:rPr>
          <w:rFonts w:hint="eastAsia" w:ascii="宋体" w:hAnsi="宋体" w:cs="宋体"/>
          <w:szCs w:val="21"/>
        </w:rPr>
        <w:t>（一）项目决策方面....................................................1</w:t>
      </w:r>
      <w:r>
        <w:rPr>
          <w:rFonts w:hint="eastAsia" w:ascii="宋体" w:hAnsi="宋体" w:cs="宋体"/>
          <w:szCs w:val="21"/>
          <w:lang w:val="en-US" w:eastAsia="zh-CN"/>
        </w:rPr>
        <w:t>7</w:t>
      </w:r>
    </w:p>
    <w:p>
      <w:pPr>
        <w:spacing w:line="360" w:lineRule="exact"/>
        <w:ind w:firstLine="630" w:firstLineChars="300"/>
        <w:rPr>
          <w:rFonts w:hint="eastAsia" w:ascii="宋体" w:hAnsi="宋体" w:eastAsia="宋体" w:cs="宋体"/>
          <w:szCs w:val="21"/>
          <w:lang w:val="en-US" w:eastAsia="zh-CN"/>
        </w:rPr>
      </w:pPr>
      <w:r>
        <w:rPr>
          <w:rFonts w:hint="eastAsia" w:ascii="宋体" w:hAnsi="宋体" w:cs="宋体"/>
          <w:szCs w:val="21"/>
        </w:rPr>
        <w:t>1、项目决策过程管理...................................................1</w:t>
      </w:r>
      <w:r>
        <w:rPr>
          <w:rFonts w:hint="eastAsia" w:ascii="宋体" w:hAnsi="宋体" w:cs="宋体"/>
          <w:szCs w:val="21"/>
          <w:lang w:val="en-US" w:eastAsia="zh-CN"/>
        </w:rPr>
        <w:t>7</w:t>
      </w:r>
    </w:p>
    <w:p>
      <w:pPr>
        <w:spacing w:line="360" w:lineRule="exact"/>
        <w:ind w:firstLine="630" w:firstLineChars="300"/>
        <w:rPr>
          <w:rFonts w:hint="eastAsia" w:ascii="宋体" w:hAnsi="宋体" w:eastAsia="宋体" w:cs="宋体"/>
          <w:szCs w:val="21"/>
          <w:lang w:val="en-US" w:eastAsia="zh-CN"/>
        </w:rPr>
      </w:pPr>
      <w:r>
        <w:rPr>
          <w:rFonts w:hint="eastAsia" w:ascii="宋体" w:hAnsi="宋体" w:cs="宋体"/>
          <w:szCs w:val="21"/>
        </w:rPr>
        <w:t>2、绩效管理分析.......................................................1</w:t>
      </w:r>
      <w:r>
        <w:rPr>
          <w:rFonts w:hint="eastAsia" w:ascii="宋体" w:hAnsi="宋体" w:cs="宋体"/>
          <w:szCs w:val="21"/>
          <w:lang w:val="en-US" w:eastAsia="zh-CN"/>
        </w:rPr>
        <w:t>8</w:t>
      </w:r>
    </w:p>
    <w:p>
      <w:pPr>
        <w:spacing w:line="360" w:lineRule="exact"/>
        <w:ind w:firstLine="630" w:firstLineChars="300"/>
        <w:rPr>
          <w:rFonts w:hint="eastAsia" w:ascii="宋体" w:hAnsi="宋体" w:eastAsia="宋体" w:cs="宋体"/>
          <w:szCs w:val="21"/>
          <w:lang w:val="en-US" w:eastAsia="zh-CN"/>
        </w:rPr>
      </w:pPr>
      <w:r>
        <w:rPr>
          <w:rFonts w:hint="eastAsia" w:ascii="宋体" w:hAnsi="宋体" w:cs="宋体"/>
          <w:szCs w:val="21"/>
        </w:rPr>
        <w:t>3、资金投入分析.......................................................1</w:t>
      </w:r>
      <w:r>
        <w:rPr>
          <w:rFonts w:hint="eastAsia" w:ascii="宋体" w:hAnsi="宋体" w:cs="宋体"/>
          <w:szCs w:val="21"/>
          <w:lang w:val="en-US" w:eastAsia="zh-CN"/>
        </w:rPr>
        <w:t>8</w:t>
      </w:r>
    </w:p>
    <w:p>
      <w:pPr>
        <w:spacing w:line="360" w:lineRule="exact"/>
        <w:ind w:firstLine="630" w:firstLineChars="300"/>
        <w:rPr>
          <w:rFonts w:hint="eastAsia" w:ascii="宋体" w:hAnsi="宋体" w:eastAsia="宋体" w:cs="宋体"/>
          <w:szCs w:val="21"/>
          <w:lang w:val="en-US" w:eastAsia="zh-CN"/>
        </w:rPr>
      </w:pPr>
      <w:r>
        <w:rPr>
          <w:rFonts w:hint="eastAsia" w:ascii="宋体" w:hAnsi="宋体" w:cs="宋体"/>
          <w:szCs w:val="21"/>
        </w:rPr>
        <w:t>(二）过程管理方面.....................................................1</w:t>
      </w:r>
      <w:r>
        <w:rPr>
          <w:rFonts w:hint="eastAsia" w:ascii="宋体" w:hAnsi="宋体" w:cs="宋体"/>
          <w:szCs w:val="21"/>
          <w:lang w:val="en-US" w:eastAsia="zh-CN"/>
        </w:rPr>
        <w:t>8</w:t>
      </w:r>
    </w:p>
    <w:p>
      <w:pPr>
        <w:spacing w:line="360" w:lineRule="exact"/>
        <w:ind w:firstLine="630" w:firstLineChars="300"/>
        <w:rPr>
          <w:rFonts w:hint="eastAsia" w:ascii="宋体" w:hAnsi="宋体" w:eastAsia="宋体" w:cs="宋体"/>
          <w:szCs w:val="21"/>
          <w:lang w:val="en-US" w:eastAsia="zh-CN"/>
        </w:rPr>
      </w:pPr>
      <w:r>
        <w:rPr>
          <w:rFonts w:hint="eastAsia" w:ascii="宋体" w:hAnsi="宋体" w:cs="宋体"/>
          <w:szCs w:val="21"/>
        </w:rPr>
        <w:t>1、资金管理分析.......................................................1</w:t>
      </w:r>
      <w:r>
        <w:rPr>
          <w:rFonts w:hint="eastAsia" w:ascii="宋体" w:hAnsi="宋体" w:cs="宋体"/>
          <w:szCs w:val="21"/>
          <w:lang w:val="en-US" w:eastAsia="zh-CN"/>
        </w:rPr>
        <w:t>8</w:t>
      </w:r>
    </w:p>
    <w:p>
      <w:pPr>
        <w:spacing w:line="360" w:lineRule="exact"/>
        <w:ind w:firstLine="630" w:firstLineChars="300"/>
        <w:rPr>
          <w:rFonts w:hint="default" w:ascii="宋体" w:hAnsi="宋体" w:eastAsia="宋体" w:cs="宋体"/>
          <w:szCs w:val="21"/>
          <w:lang w:val="en-US" w:eastAsia="zh-CN"/>
        </w:rPr>
      </w:pPr>
      <w:r>
        <w:rPr>
          <w:rFonts w:hint="eastAsia" w:ascii="宋体" w:hAnsi="宋体" w:cs="宋体"/>
          <w:szCs w:val="21"/>
        </w:rPr>
        <w:t>2、项目实施过程管理...................................................</w:t>
      </w:r>
      <w:r>
        <w:rPr>
          <w:rFonts w:hint="eastAsia" w:ascii="宋体" w:hAnsi="宋体" w:cs="宋体"/>
          <w:szCs w:val="21"/>
          <w:lang w:val="en-US" w:eastAsia="zh-CN"/>
        </w:rPr>
        <w:t>20</w:t>
      </w:r>
    </w:p>
    <w:p>
      <w:pPr>
        <w:spacing w:line="360" w:lineRule="exact"/>
        <w:ind w:firstLine="630" w:firstLineChars="300"/>
        <w:rPr>
          <w:rFonts w:hint="default" w:ascii="宋体" w:hAnsi="宋体" w:eastAsia="宋体" w:cs="宋体"/>
          <w:szCs w:val="21"/>
          <w:lang w:val="en-US" w:eastAsia="zh-CN"/>
        </w:rPr>
      </w:pPr>
      <w:r>
        <w:rPr>
          <w:rFonts w:hint="eastAsia" w:ascii="宋体" w:hAnsi="宋体" w:cs="宋体"/>
          <w:szCs w:val="21"/>
        </w:rPr>
        <w:t>3、风险控制管理.......................................................</w:t>
      </w:r>
      <w:r>
        <w:rPr>
          <w:rFonts w:hint="eastAsia" w:ascii="宋体" w:hAnsi="宋体" w:cs="宋体"/>
          <w:szCs w:val="21"/>
          <w:lang w:val="en-US" w:eastAsia="zh-CN"/>
        </w:rPr>
        <w:t>20</w:t>
      </w:r>
    </w:p>
    <w:p>
      <w:pPr>
        <w:spacing w:line="360" w:lineRule="exact"/>
        <w:ind w:firstLine="630" w:firstLineChars="300"/>
        <w:rPr>
          <w:rFonts w:hint="default" w:ascii="宋体" w:hAnsi="宋体" w:eastAsia="宋体" w:cs="宋体"/>
          <w:szCs w:val="21"/>
          <w:lang w:val="en-US" w:eastAsia="zh-CN"/>
        </w:rPr>
      </w:pPr>
      <w:r>
        <w:rPr>
          <w:rFonts w:hint="eastAsia" w:ascii="宋体" w:hAnsi="宋体" w:cs="宋体"/>
          <w:szCs w:val="21"/>
        </w:rPr>
        <w:t>(三）产出目标完成情况.................................................</w:t>
      </w:r>
      <w:r>
        <w:rPr>
          <w:rFonts w:hint="eastAsia" w:ascii="宋体" w:hAnsi="宋体" w:cs="宋体"/>
          <w:szCs w:val="21"/>
          <w:lang w:val="en-US" w:eastAsia="zh-CN"/>
        </w:rPr>
        <w:t>21</w:t>
      </w:r>
    </w:p>
    <w:p>
      <w:pPr>
        <w:spacing w:line="360" w:lineRule="exact"/>
        <w:ind w:firstLine="630" w:firstLineChars="300"/>
        <w:rPr>
          <w:rFonts w:hint="default" w:ascii="宋体" w:hAnsi="宋体" w:eastAsia="宋体" w:cs="宋体"/>
          <w:szCs w:val="21"/>
          <w:lang w:val="en-US" w:eastAsia="zh-CN"/>
        </w:rPr>
      </w:pPr>
      <w:r>
        <w:rPr>
          <w:rFonts w:hint="eastAsia" w:ascii="宋体" w:hAnsi="宋体" w:cs="宋体"/>
          <w:szCs w:val="21"/>
        </w:rPr>
        <w:t>1、产出数量完成情况...................................................</w:t>
      </w:r>
      <w:r>
        <w:rPr>
          <w:rFonts w:hint="eastAsia" w:ascii="宋体" w:hAnsi="宋体" w:cs="宋体"/>
          <w:szCs w:val="21"/>
          <w:lang w:val="en-US" w:eastAsia="zh-CN"/>
        </w:rPr>
        <w:t>21</w:t>
      </w:r>
    </w:p>
    <w:p>
      <w:pPr>
        <w:spacing w:line="360" w:lineRule="exact"/>
        <w:ind w:firstLine="630" w:firstLineChars="300"/>
        <w:rPr>
          <w:rFonts w:hint="default" w:ascii="宋体" w:hAnsi="宋体" w:eastAsia="宋体" w:cs="宋体"/>
          <w:szCs w:val="21"/>
          <w:lang w:val="en-US" w:eastAsia="zh-CN"/>
        </w:rPr>
      </w:pPr>
      <w:r>
        <w:rPr>
          <w:rFonts w:hint="eastAsia" w:ascii="宋体" w:hAnsi="宋体" w:cs="宋体"/>
          <w:szCs w:val="21"/>
        </w:rPr>
        <w:t>2、产出质量完成情况...................................................</w:t>
      </w:r>
      <w:r>
        <w:rPr>
          <w:rFonts w:hint="eastAsia" w:ascii="宋体" w:hAnsi="宋体" w:cs="宋体"/>
          <w:szCs w:val="21"/>
          <w:lang w:val="en-US" w:eastAsia="zh-CN"/>
        </w:rPr>
        <w:t>22</w:t>
      </w:r>
    </w:p>
    <w:p>
      <w:pPr>
        <w:spacing w:line="360" w:lineRule="exact"/>
        <w:ind w:firstLine="630" w:firstLineChars="300"/>
        <w:rPr>
          <w:rFonts w:hint="default" w:ascii="宋体" w:hAnsi="宋体" w:eastAsia="宋体" w:cs="宋体"/>
          <w:szCs w:val="21"/>
          <w:lang w:val="en-US" w:eastAsia="zh-CN"/>
        </w:rPr>
      </w:pPr>
      <w:r>
        <w:rPr>
          <w:rFonts w:hint="eastAsia" w:ascii="宋体" w:hAnsi="宋体" w:cs="宋体"/>
          <w:szCs w:val="21"/>
        </w:rPr>
        <w:t>3、产出时效控制情况...................................................</w:t>
      </w:r>
      <w:r>
        <w:rPr>
          <w:rFonts w:hint="eastAsia" w:ascii="宋体" w:hAnsi="宋体" w:cs="宋体"/>
          <w:szCs w:val="21"/>
          <w:lang w:val="en-US" w:eastAsia="zh-CN"/>
        </w:rPr>
        <w:t>22</w:t>
      </w:r>
    </w:p>
    <w:p>
      <w:pPr>
        <w:spacing w:line="360" w:lineRule="exact"/>
        <w:ind w:firstLine="630" w:firstLineChars="300"/>
        <w:rPr>
          <w:rFonts w:hint="eastAsia" w:ascii="宋体" w:hAnsi="宋体" w:cs="宋体"/>
          <w:szCs w:val="21"/>
          <w:lang w:val="en-US" w:eastAsia="zh-CN"/>
        </w:rPr>
      </w:pPr>
      <w:r>
        <w:rPr>
          <w:rFonts w:hint="eastAsia" w:ascii="宋体" w:hAnsi="宋体" w:cs="宋体"/>
          <w:szCs w:val="21"/>
        </w:rPr>
        <w:t>4、产出成本控制情况...................................................</w:t>
      </w:r>
      <w:r>
        <w:rPr>
          <w:rFonts w:hint="eastAsia" w:ascii="宋体" w:hAnsi="宋体" w:cs="宋体"/>
          <w:szCs w:val="21"/>
          <w:lang w:val="en-US" w:eastAsia="zh-CN"/>
        </w:rPr>
        <w:t>22</w:t>
      </w:r>
    </w:p>
    <w:p>
      <w:pPr>
        <w:spacing w:line="360" w:lineRule="exact"/>
        <w:ind w:firstLine="630" w:firstLineChars="300"/>
        <w:rPr>
          <w:rFonts w:hint="eastAsia" w:ascii="宋体" w:hAnsi="宋体" w:cs="宋体"/>
          <w:szCs w:val="21"/>
          <w:lang w:val="en-US" w:eastAsia="zh-CN"/>
        </w:rPr>
      </w:pPr>
      <w:r>
        <w:rPr>
          <w:rFonts w:hint="eastAsia" w:ascii="宋体" w:hAnsi="宋体" w:cs="宋体"/>
          <w:szCs w:val="21"/>
          <w:lang w:val="en-US" w:eastAsia="zh-CN"/>
        </w:rPr>
        <w:t>5、项目使用效果.......................................................23</w:t>
      </w:r>
    </w:p>
    <w:p>
      <w:pPr>
        <w:spacing w:line="360" w:lineRule="exact"/>
        <w:ind w:firstLine="630" w:firstLineChars="300"/>
        <w:rPr>
          <w:rFonts w:hint="default" w:ascii="宋体" w:hAnsi="宋体" w:cs="宋体"/>
          <w:szCs w:val="21"/>
          <w:lang w:val="en-US" w:eastAsia="zh-CN"/>
        </w:rPr>
      </w:pPr>
      <w:r>
        <w:rPr>
          <w:rFonts w:hint="eastAsia" w:ascii="宋体" w:hAnsi="宋体" w:cs="宋体"/>
          <w:szCs w:val="21"/>
          <w:lang w:val="en-US" w:eastAsia="zh-CN"/>
        </w:rPr>
        <w:t>6、项目效果及满意度...................................................23</w:t>
      </w:r>
    </w:p>
    <w:p>
      <w:pPr>
        <w:spacing w:line="360" w:lineRule="exact"/>
        <w:ind w:firstLine="632" w:firstLineChars="300"/>
        <w:rPr>
          <w:rFonts w:hint="eastAsia" w:ascii="宋体" w:hAnsi="宋体" w:eastAsia="宋体" w:cs="宋体"/>
          <w:b/>
          <w:bCs/>
          <w:szCs w:val="21"/>
          <w:lang w:val="en-US" w:eastAsia="zh-CN"/>
        </w:rPr>
      </w:pPr>
      <w:r>
        <w:rPr>
          <w:rFonts w:hint="eastAsia" w:ascii="宋体" w:hAnsi="宋体" w:cs="宋体"/>
          <w:b/>
          <w:bCs/>
          <w:szCs w:val="21"/>
        </w:rPr>
        <w:t>五、存在问题及原因分析................................................1</w:t>
      </w:r>
      <w:r>
        <w:rPr>
          <w:rFonts w:hint="eastAsia" w:ascii="宋体" w:hAnsi="宋体" w:cs="宋体"/>
          <w:b/>
          <w:bCs/>
          <w:szCs w:val="21"/>
          <w:lang w:val="en-US" w:eastAsia="zh-CN"/>
        </w:rPr>
        <w:t>8</w:t>
      </w:r>
    </w:p>
    <w:p>
      <w:pPr>
        <w:spacing w:line="360" w:lineRule="exact"/>
        <w:ind w:firstLine="840" w:firstLineChars="400"/>
        <w:rPr>
          <w:rFonts w:hint="default" w:ascii="宋体" w:hAnsi="宋体" w:eastAsia="宋体" w:cs="宋体"/>
          <w:b/>
          <w:bCs/>
          <w:szCs w:val="21"/>
          <w:lang w:val="en-US" w:eastAsia="zh-CN"/>
        </w:rPr>
      </w:pPr>
      <w:r>
        <w:rPr>
          <w:rFonts w:hint="eastAsia" w:ascii="宋体" w:hAnsi="宋体" w:cs="宋体"/>
          <w:szCs w:val="21"/>
        </w:rPr>
        <w:t>(一）存在问题........................................................</w:t>
      </w:r>
      <w:r>
        <w:rPr>
          <w:rFonts w:hint="eastAsia" w:ascii="宋体" w:hAnsi="宋体" w:cs="宋体"/>
          <w:szCs w:val="21"/>
          <w:lang w:val="en-US" w:eastAsia="zh-CN"/>
        </w:rPr>
        <w:t>23</w:t>
      </w:r>
    </w:p>
    <w:p>
      <w:pPr>
        <w:spacing w:line="360" w:lineRule="exact"/>
        <w:ind w:firstLine="840" w:firstLineChars="400"/>
        <w:rPr>
          <w:rFonts w:hint="eastAsia" w:ascii="宋体" w:hAnsi="宋体" w:eastAsia="宋体" w:cs="宋体"/>
          <w:b/>
          <w:bCs/>
          <w:szCs w:val="21"/>
          <w:lang w:val="en-US" w:eastAsia="zh-CN"/>
        </w:rPr>
      </w:pPr>
      <w:r>
        <w:rPr>
          <w:rFonts w:hint="eastAsia" w:ascii="宋体" w:hAnsi="宋体" w:cs="宋体"/>
          <w:szCs w:val="21"/>
        </w:rPr>
        <w:t>(二）相关建议........................................................2</w:t>
      </w:r>
      <w:r>
        <w:rPr>
          <w:rFonts w:hint="eastAsia" w:ascii="宋体" w:hAnsi="宋体" w:cs="宋体"/>
          <w:szCs w:val="21"/>
          <w:lang w:val="en-US" w:eastAsia="zh-CN"/>
        </w:rPr>
        <w:t>7</w:t>
      </w:r>
    </w:p>
    <w:p>
      <w:pPr>
        <w:spacing w:line="360" w:lineRule="exact"/>
        <w:ind w:firstLine="632" w:firstLineChars="300"/>
        <w:rPr>
          <w:rFonts w:hint="eastAsia" w:ascii="宋体" w:hAnsi="宋体" w:eastAsia="宋体" w:cs="宋体"/>
          <w:szCs w:val="21"/>
          <w:lang w:val="en-US" w:eastAsia="zh-CN"/>
        </w:rPr>
      </w:pPr>
      <w:r>
        <w:rPr>
          <w:rFonts w:hint="eastAsia" w:ascii="宋体" w:hAnsi="宋体" w:cs="宋体"/>
          <w:b/>
          <w:bCs/>
          <w:szCs w:val="21"/>
        </w:rPr>
        <w:t>六、绩效评价报告使用限制等其他需要说明的事项.........................</w:t>
      </w:r>
      <w:r>
        <w:rPr>
          <w:rFonts w:hint="eastAsia" w:ascii="宋体" w:hAnsi="宋体" w:cs="宋体"/>
          <w:b/>
          <w:bCs/>
          <w:szCs w:val="21"/>
          <w:lang w:val="en-US" w:eastAsia="zh-CN"/>
        </w:rPr>
        <w:t xml:space="preserve">. </w:t>
      </w:r>
      <w:r>
        <w:rPr>
          <w:rFonts w:hint="eastAsia" w:ascii="宋体" w:hAnsi="宋体" w:cs="宋体"/>
          <w:b/>
          <w:bCs/>
          <w:szCs w:val="21"/>
        </w:rPr>
        <w:t>2</w:t>
      </w:r>
      <w:r>
        <w:rPr>
          <w:rFonts w:hint="eastAsia" w:ascii="宋体" w:hAnsi="宋体" w:cs="宋体"/>
          <w:b/>
          <w:bCs/>
          <w:szCs w:val="21"/>
          <w:lang w:val="en-US" w:eastAsia="zh-CN"/>
        </w:rPr>
        <w:t>8</w:t>
      </w:r>
    </w:p>
    <w:p>
      <w:pPr>
        <w:spacing w:line="360" w:lineRule="exact"/>
        <w:ind w:firstLine="632" w:firstLineChars="300"/>
        <w:rPr>
          <w:rFonts w:hint="default" w:ascii="宋体" w:hAnsi="宋体" w:eastAsia="宋体" w:cs="宋体"/>
          <w:b/>
          <w:bCs/>
          <w:szCs w:val="21"/>
          <w:lang w:val="en-US" w:eastAsia="zh-CN"/>
        </w:rPr>
      </w:pPr>
      <w:r>
        <w:rPr>
          <w:rFonts w:hint="eastAsia" w:ascii="宋体" w:hAnsi="宋体" w:cs="宋体"/>
          <w:b/>
          <w:bCs/>
          <w:szCs w:val="21"/>
        </w:rPr>
        <w:t xml:space="preserve">七、附件...........................................................  </w:t>
      </w:r>
      <w:r>
        <w:rPr>
          <w:rFonts w:hint="eastAsia" w:ascii="宋体" w:hAnsi="宋体" w:cs="宋体"/>
          <w:b/>
          <w:bCs/>
          <w:szCs w:val="21"/>
          <w:lang w:val="en-US" w:eastAsia="zh-CN"/>
        </w:rPr>
        <w:t xml:space="preserve"> </w:t>
      </w:r>
      <w:r>
        <w:rPr>
          <w:rFonts w:hint="eastAsia" w:ascii="宋体" w:hAnsi="宋体" w:cs="宋体"/>
          <w:b/>
          <w:bCs/>
          <w:szCs w:val="21"/>
        </w:rPr>
        <w:t xml:space="preserve"> </w:t>
      </w:r>
      <w:r>
        <w:rPr>
          <w:rFonts w:hint="eastAsia" w:ascii="宋体" w:hAnsi="宋体" w:cs="宋体"/>
          <w:b/>
          <w:bCs/>
          <w:szCs w:val="21"/>
          <w:lang w:val="en-US" w:eastAsia="zh-CN"/>
        </w:rPr>
        <w:t>29</w:t>
      </w:r>
    </w:p>
    <w:p/>
    <w:p>
      <w:pPr>
        <w:numPr>
          <w:ilvl w:val="0"/>
          <w:numId w:val="0"/>
        </w:numPr>
        <w:spacing w:line="240" w:lineRule="atLeast"/>
        <w:outlineLvl w:val="0"/>
        <w:rPr>
          <w:rFonts w:hint="eastAsia" w:ascii="宋体" w:hAnsi="宋体"/>
          <w:b/>
          <w:sz w:val="30"/>
          <w:szCs w:val="30"/>
        </w:rPr>
        <w:sectPr>
          <w:headerReference r:id="rId7" w:type="default"/>
          <w:footerReference r:id="rId8" w:type="default"/>
          <w:pgSz w:w="11906" w:h="16838"/>
          <w:pgMar w:top="1440" w:right="1644" w:bottom="1247" w:left="1644" w:header="851" w:footer="992" w:gutter="0"/>
          <w:pgNumType w:fmt="decimal" w:start="1"/>
          <w:cols w:space="720" w:num="1"/>
          <w:docGrid w:type="lines" w:linePitch="312" w:charSpace="0"/>
        </w:sectPr>
      </w:pPr>
    </w:p>
    <w:p>
      <w:pPr>
        <w:tabs>
          <w:tab w:val="left" w:pos="2835"/>
          <w:tab w:val="left" w:pos="4725"/>
        </w:tabs>
        <w:spacing w:line="940" w:lineRule="exact"/>
        <w:ind w:firstLine="601" w:firstLineChars="100"/>
        <w:outlineLvl w:val="1"/>
        <w:rPr>
          <w:rFonts w:hint="eastAsia" w:ascii="黑体" w:hAnsi="宋体" w:eastAsia="黑体"/>
          <w:spacing w:val="-16"/>
          <w:w w:val="66"/>
          <w:sz w:val="96"/>
          <w:szCs w:val="96"/>
        </w:rPr>
      </w:pPr>
      <w:r>
        <w:rPr>
          <w:rFonts w:hint="eastAsia" w:ascii="黑体" w:hAnsi="宋体" w:eastAsia="黑体"/>
          <w:spacing w:val="-16"/>
          <w:w w:val="66"/>
          <w:sz w:val="96"/>
          <w:szCs w:val="96"/>
        </w:rPr>
        <w:t>湖南恒兴联合会计师事务所</w:t>
      </w:r>
    </w:p>
    <w:p>
      <w:pPr>
        <w:tabs>
          <w:tab w:val="left" w:pos="2835"/>
          <w:tab w:val="left" w:pos="4725"/>
        </w:tabs>
        <w:spacing w:line="760" w:lineRule="exact"/>
        <w:jc w:val="center"/>
        <w:outlineLvl w:val="0"/>
        <w:rPr>
          <w:rFonts w:hint="eastAsia" w:ascii="黑体" w:hAnsi="宋体" w:eastAsia="黑体"/>
          <w:spacing w:val="-16"/>
          <w:w w:val="66"/>
          <w:sz w:val="36"/>
          <w:szCs w:val="36"/>
        </w:rPr>
      </w:pPr>
      <w:r>
        <w:rPr>
          <w:rFonts w:hint="eastAsia" w:ascii="黑体" w:hAnsi="宋体" w:eastAsia="黑体"/>
          <w:sz w:val="36"/>
          <w:szCs w:val="36"/>
        </w:rPr>
        <w:t>HUNAN HENGXING UNITED C.P.A OFFICE</w:t>
      </w:r>
    </w:p>
    <w:p>
      <w:pPr>
        <w:adjustRightInd w:val="0"/>
        <w:snapToGrid w:val="0"/>
        <w:spacing w:line="760" w:lineRule="exact"/>
        <w:jc w:val="center"/>
        <w:outlineLvl w:val="0"/>
        <w:rPr>
          <w:rFonts w:hint="eastAsia" w:ascii="楷体_GB2312" w:hAnsi="宋体" w:eastAsia="楷体_GB2312"/>
          <w:b/>
          <w:color w:val="auto"/>
          <w:spacing w:val="20"/>
          <w:sz w:val="36"/>
          <w:szCs w:val="36"/>
        </w:rPr>
      </w:pPr>
      <w:r>
        <w:rPr>
          <w:rFonts w:hint="eastAsia" w:ascii="楷体_GB2312" w:hAnsi="宋体" w:eastAsia="楷体_GB2312"/>
          <w:b/>
          <w:color w:val="auto"/>
          <w:spacing w:val="20"/>
          <w:sz w:val="36"/>
          <w:szCs w:val="36"/>
        </w:rPr>
        <w:t>湘恒兴专审字（20</w:t>
      </w:r>
      <w:r>
        <w:rPr>
          <w:rFonts w:hint="eastAsia" w:ascii="楷体_GB2312" w:hAnsi="宋体" w:eastAsia="楷体_GB2312"/>
          <w:b/>
          <w:color w:val="auto"/>
          <w:spacing w:val="20"/>
          <w:sz w:val="36"/>
          <w:szCs w:val="36"/>
          <w:lang w:val="en-US" w:eastAsia="zh-CN"/>
        </w:rPr>
        <w:t>21</w:t>
      </w:r>
      <w:r>
        <w:rPr>
          <w:rFonts w:hint="eastAsia" w:ascii="楷体_GB2312" w:hAnsi="宋体" w:eastAsia="楷体_GB2312"/>
          <w:b/>
          <w:color w:val="auto"/>
          <w:spacing w:val="20"/>
          <w:sz w:val="36"/>
          <w:szCs w:val="36"/>
        </w:rPr>
        <w:t>）第0</w:t>
      </w:r>
      <w:r>
        <w:rPr>
          <w:rFonts w:hint="eastAsia" w:ascii="楷体_GB2312" w:hAnsi="宋体" w:eastAsia="楷体_GB2312"/>
          <w:b/>
          <w:color w:val="auto"/>
          <w:spacing w:val="20"/>
          <w:sz w:val="36"/>
          <w:szCs w:val="36"/>
          <w:lang w:val="en-US" w:eastAsia="zh-CN"/>
        </w:rPr>
        <w:t>49</w:t>
      </w:r>
      <w:r>
        <w:rPr>
          <w:rFonts w:hint="eastAsia" w:ascii="楷体_GB2312" w:hAnsi="宋体" w:eastAsia="楷体_GB2312"/>
          <w:b/>
          <w:color w:val="auto"/>
          <w:spacing w:val="20"/>
          <w:sz w:val="36"/>
          <w:szCs w:val="36"/>
        </w:rPr>
        <w:t>号</w:t>
      </w:r>
    </w:p>
    <w:p>
      <w:pPr>
        <w:spacing w:line="760" w:lineRule="exact"/>
        <w:jc w:val="center"/>
        <w:rPr>
          <w:rFonts w:hint="default" w:ascii="黑体" w:hAnsi="宋体" w:eastAsia="黑体"/>
          <w:b/>
          <w:sz w:val="32"/>
          <w:szCs w:val="32"/>
          <w:lang w:val="en-US"/>
        </w:rPr>
      </w:pPr>
      <w:r>
        <w:rPr>
          <w:rFonts w:ascii="宋体" w:hAnsi="宋体"/>
          <w:b/>
          <w:sz w:val="32"/>
          <w:szCs w:val="32"/>
        </w:rPr>
        <mc:AlternateContent>
          <mc:Choice Requires="wps">
            <w:drawing>
              <wp:anchor distT="0" distB="0" distL="114300" distR="114300" simplePos="0" relativeHeight="251659264" behindDoc="0" locked="0" layoutInCell="0" allowOverlap="1">
                <wp:simplePos x="0" y="0"/>
                <wp:positionH relativeFrom="column">
                  <wp:posOffset>66675</wp:posOffset>
                </wp:positionH>
                <wp:positionV relativeFrom="paragraph">
                  <wp:posOffset>43180</wp:posOffset>
                </wp:positionV>
                <wp:extent cx="5400675" cy="0"/>
                <wp:effectExtent l="0" t="0" r="0" b="0"/>
                <wp:wrapTight wrapText="bothSides">
                  <wp:wrapPolygon>
                    <wp:start x="0" y="0"/>
                    <wp:lineTo x="21600" y="0"/>
                    <wp:lineTo x="0" y="0"/>
                  </wp:wrapPolygon>
                </wp:wrapTight>
                <wp:docPr id="1" name="直线 11"/>
                <wp:cNvGraphicFramePr/>
                <a:graphic xmlns:a="http://schemas.openxmlformats.org/drawingml/2006/main">
                  <a:graphicData uri="http://schemas.microsoft.com/office/word/2010/wordprocessingShape">
                    <wps:wsp>
                      <wps:cNvSpPr/>
                      <wps:spPr>
                        <a:xfrm>
                          <a:off x="0" y="0"/>
                          <a:ext cx="54006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5.25pt;margin-top:3.4pt;height:0pt;width:425.25pt;mso-wrap-distance-left:9pt;mso-wrap-distance-right:9pt;z-index:251659264;mso-width-relative:page;mso-height-relative:page;" filled="f" stroked="t" coordsize="21600,21600" wrapcoords="0 0 21600 0 0 0" o:allowincell="f" o:gfxdata="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J4Yym0gAAAAYBAAAP&#10;AAAAAAAAAAEAIAAAACIAAABkcnMvZG93bnJldi54bWxQSwECFAAUAAAACACHTuJAemNNxOUBAADc&#10;AwAADgAAAAAAAAABACAAAAAhAQAAZHJzL2Uyb0RvYy54bWxQSwUGAAAAAAYABgBZAQAAeAUAAAAA&#10;">
                <v:fill on="f" focussize="0,0"/>
                <v:stroke color="#000000" joinstyle="round"/>
                <v:imagedata o:title=""/>
                <o:lock v:ext="edit" aspectratio="f"/>
                <w10:wrap type="tight"/>
              </v:line>
            </w:pict>
          </mc:Fallback>
        </mc:AlternateContent>
      </w:r>
      <w:r>
        <w:rPr>
          <w:rFonts w:hint="eastAsia" w:ascii="黑体" w:hAnsi="宋体" w:eastAsia="黑体" w:cs="Times New Roman"/>
          <w:b/>
          <w:sz w:val="32"/>
          <w:szCs w:val="32"/>
          <w:lang w:eastAsia="zh-CN"/>
        </w:rPr>
        <w:t>岳阳市云溪区污水处理厂</w:t>
      </w:r>
      <w:r>
        <w:rPr>
          <w:rFonts w:hint="eastAsia" w:ascii="黑体" w:hAnsi="宋体" w:eastAsia="黑体" w:cs="Times New Roman"/>
          <w:b/>
          <w:sz w:val="32"/>
          <w:szCs w:val="32"/>
          <w:lang w:val="en-US" w:eastAsia="zh-CN"/>
        </w:rPr>
        <w:t>建设</w:t>
      </w:r>
      <w:r>
        <w:rPr>
          <w:rFonts w:hint="eastAsia" w:ascii="黑体" w:hAnsi="宋体" w:eastAsia="黑体" w:cs="Times New Roman"/>
          <w:b/>
          <w:sz w:val="32"/>
          <w:szCs w:val="32"/>
          <w:lang w:val="en-US" w:eastAsia="zh-CN"/>
        </w:rPr>
        <w:t>专项债券</w:t>
      </w:r>
      <w:r>
        <w:rPr>
          <w:rFonts w:hint="eastAsia" w:ascii="黑体" w:hAnsi="宋体" w:eastAsia="黑体" w:cs="Times New Roman"/>
          <w:b/>
          <w:sz w:val="32"/>
          <w:szCs w:val="32"/>
          <w:lang w:eastAsia="zh-CN"/>
        </w:rPr>
        <w:t>项目</w:t>
      </w:r>
    </w:p>
    <w:p>
      <w:pPr>
        <w:spacing w:line="760" w:lineRule="exact"/>
        <w:jc w:val="center"/>
        <w:outlineLvl w:val="0"/>
        <w:rPr>
          <w:rFonts w:hint="eastAsia" w:ascii="黑体" w:hAnsi="宋体" w:eastAsia="黑体"/>
          <w:b/>
          <w:sz w:val="44"/>
        </w:rPr>
      </w:pPr>
      <w:r>
        <w:rPr>
          <w:rFonts w:hint="eastAsia" w:ascii="黑体" w:hAnsi="宋体" w:eastAsia="黑体"/>
          <w:b/>
          <w:sz w:val="44"/>
          <w:lang w:eastAsia="zh-CN"/>
        </w:rPr>
        <w:t>重点</w:t>
      </w:r>
      <w:r>
        <w:rPr>
          <w:rFonts w:hint="eastAsia" w:ascii="黑体" w:hAnsi="宋体" w:eastAsia="黑体"/>
          <w:b/>
          <w:sz w:val="44"/>
        </w:rPr>
        <w:t>绩效评价报告</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岳阳市云溪区</w:t>
      </w:r>
      <w:r>
        <w:rPr>
          <w:rFonts w:hint="eastAsia" w:ascii="宋体" w:hAnsi="宋体" w:eastAsia="宋体" w:cs="宋体"/>
          <w:b/>
          <w:bCs/>
          <w:sz w:val="28"/>
          <w:szCs w:val="28"/>
        </w:rPr>
        <w:t>财政局</w:t>
      </w:r>
      <w:r>
        <w:rPr>
          <w:rFonts w:hint="eastAsia" w:ascii="宋体" w:hAnsi="宋体" w:eastAsia="宋体" w:cs="宋体"/>
          <w:sz w:val="28"/>
          <w:szCs w:val="28"/>
        </w:rPr>
        <w:t>：</w:t>
      </w:r>
    </w:p>
    <w:p>
      <w:pPr>
        <w:keepNext w:val="0"/>
        <w:keepLines w:val="0"/>
        <w:pageBreakBefore w:val="0"/>
        <w:widowControl w:val="0"/>
        <w:tabs>
          <w:tab w:val="left" w:pos="3420"/>
        </w:tabs>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接受贵局委托，</w:t>
      </w:r>
      <w:r>
        <w:rPr>
          <w:rFonts w:hint="eastAsia" w:ascii="宋体" w:hAnsi="宋体" w:eastAsia="宋体" w:cs="宋体"/>
          <w:sz w:val="28"/>
          <w:szCs w:val="28"/>
          <w:lang w:val="en-US" w:eastAsia="zh-CN"/>
        </w:rPr>
        <w:t>湖南恒兴联合会计师事务所（普通合伙）（以下简称：</w:t>
      </w:r>
      <w:r>
        <w:rPr>
          <w:rFonts w:hint="eastAsia" w:ascii="宋体" w:hAnsi="宋体" w:eastAsia="宋体" w:cs="宋体"/>
          <w:sz w:val="28"/>
          <w:szCs w:val="28"/>
        </w:rPr>
        <w:t>我所</w:t>
      </w:r>
      <w:r>
        <w:rPr>
          <w:rFonts w:hint="eastAsia" w:ascii="宋体" w:hAnsi="宋体" w:eastAsia="宋体" w:cs="宋体"/>
          <w:sz w:val="28"/>
          <w:szCs w:val="28"/>
          <w:lang w:eastAsia="zh-CN"/>
        </w:rPr>
        <w:t>）</w:t>
      </w:r>
      <w:r>
        <w:rPr>
          <w:rFonts w:hint="eastAsia" w:ascii="宋体" w:hAnsi="宋体" w:eastAsia="宋体" w:cs="宋体"/>
          <w:sz w:val="28"/>
          <w:szCs w:val="28"/>
        </w:rPr>
        <w:t>对</w:t>
      </w:r>
      <w:r>
        <w:rPr>
          <w:rFonts w:hint="eastAsia" w:ascii="宋体" w:hAnsi="宋体" w:eastAsia="宋体" w:cs="宋体"/>
          <w:sz w:val="28"/>
          <w:szCs w:val="28"/>
          <w:lang w:val="en-US" w:eastAsia="zh-CN"/>
        </w:rPr>
        <w:t>岳阳晨宇环境综合治理有限公司（以下简称“晨宇公司”）组织实施的岳阳</w:t>
      </w:r>
      <w:r>
        <w:rPr>
          <w:rFonts w:hint="eastAsia" w:ascii="宋体" w:hAnsi="宋体" w:eastAsia="宋体" w:cs="宋体"/>
          <w:b w:val="0"/>
          <w:bCs w:val="0"/>
          <w:sz w:val="28"/>
          <w:szCs w:val="28"/>
          <w:lang w:eastAsia="zh-CN"/>
        </w:rPr>
        <w:t>市</w:t>
      </w:r>
      <w:r>
        <w:rPr>
          <w:rFonts w:hint="eastAsia" w:ascii="宋体" w:hAnsi="宋体" w:eastAsia="宋体" w:cs="宋体"/>
          <w:b w:val="0"/>
          <w:bCs w:val="0"/>
          <w:sz w:val="28"/>
          <w:szCs w:val="28"/>
          <w:lang w:val="en-US" w:eastAsia="zh-CN"/>
        </w:rPr>
        <w:t>云溪区</w:t>
      </w:r>
      <w:r>
        <w:rPr>
          <w:rFonts w:hint="eastAsia" w:ascii="宋体" w:hAnsi="宋体" w:eastAsia="宋体" w:cs="宋体"/>
          <w:b w:val="0"/>
          <w:bCs w:val="0"/>
          <w:sz w:val="28"/>
          <w:szCs w:val="28"/>
          <w:lang w:eastAsia="zh-CN"/>
        </w:rPr>
        <w:t>污水</w:t>
      </w:r>
      <w:r>
        <w:rPr>
          <w:rFonts w:hint="eastAsia" w:ascii="宋体" w:hAnsi="宋体" w:eastAsia="宋体" w:cs="宋体"/>
          <w:b w:val="0"/>
          <w:bCs w:val="0"/>
          <w:sz w:val="28"/>
          <w:szCs w:val="28"/>
          <w:lang w:val="en-US" w:eastAsia="zh-CN"/>
        </w:rPr>
        <w:t>处理厂建设专项债券项目</w:t>
      </w:r>
      <w:r>
        <w:rPr>
          <w:rFonts w:hint="eastAsia" w:ascii="宋体" w:hAnsi="宋体" w:eastAsia="宋体" w:cs="宋体"/>
          <w:b w:val="0"/>
          <w:bCs w:val="0"/>
          <w:sz w:val="28"/>
          <w:szCs w:val="28"/>
          <w:lang w:eastAsia="zh-CN"/>
        </w:rPr>
        <w:t>（</w:t>
      </w:r>
      <w:r>
        <w:rPr>
          <w:rFonts w:hint="eastAsia" w:ascii="宋体" w:hAnsi="宋体" w:eastAsia="宋体" w:cs="宋体"/>
          <w:bCs/>
          <w:sz w:val="28"/>
          <w:szCs w:val="28"/>
          <w:lang w:eastAsia="zh-CN"/>
        </w:rPr>
        <w:t>以下简称“</w:t>
      </w:r>
      <w:r>
        <w:rPr>
          <w:rFonts w:hint="eastAsia" w:ascii="宋体" w:hAnsi="宋体" w:eastAsia="宋体" w:cs="宋体"/>
          <w:b w:val="0"/>
          <w:bCs w:val="0"/>
          <w:sz w:val="28"/>
          <w:szCs w:val="28"/>
          <w:lang w:val="en-US" w:eastAsia="zh-CN"/>
        </w:rPr>
        <w:t>项目”</w:t>
      </w:r>
      <w:r>
        <w:rPr>
          <w:rFonts w:hint="eastAsia" w:ascii="宋体" w:hAnsi="宋体" w:eastAsia="宋体" w:cs="宋体"/>
          <w:bCs/>
          <w:sz w:val="28"/>
          <w:szCs w:val="28"/>
          <w:lang w:eastAsia="zh-CN"/>
        </w:rPr>
        <w:t>）</w:t>
      </w:r>
      <w:r>
        <w:rPr>
          <w:rFonts w:hint="eastAsia" w:ascii="宋体" w:hAnsi="宋体" w:eastAsia="宋体" w:cs="宋体"/>
          <w:sz w:val="28"/>
          <w:szCs w:val="28"/>
        </w:rPr>
        <w:t>实施</w:t>
      </w:r>
      <w:r>
        <w:rPr>
          <w:rFonts w:hint="eastAsia" w:ascii="宋体" w:hAnsi="宋体" w:eastAsia="宋体" w:cs="宋体"/>
          <w:sz w:val="28"/>
          <w:szCs w:val="28"/>
          <w:lang w:eastAsia="zh-CN"/>
        </w:rPr>
        <w:t>重点</w:t>
      </w:r>
      <w:r>
        <w:rPr>
          <w:rFonts w:hint="eastAsia" w:ascii="宋体" w:hAnsi="宋体" w:eastAsia="宋体" w:cs="宋体"/>
          <w:sz w:val="28"/>
          <w:szCs w:val="28"/>
        </w:rPr>
        <w:t>绩效评价。</w:t>
      </w:r>
    </w:p>
    <w:p>
      <w:pPr>
        <w:keepNext w:val="0"/>
        <w:keepLines w:val="0"/>
        <w:pageBreakBefore w:val="0"/>
        <w:widowControl w:val="0"/>
        <w:tabs>
          <w:tab w:val="left" w:pos="3420"/>
        </w:tabs>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晨宇公司及项目相关单位</w:t>
      </w:r>
      <w:r>
        <w:rPr>
          <w:rFonts w:hint="eastAsia" w:ascii="宋体" w:hAnsi="宋体" w:eastAsia="宋体" w:cs="宋体"/>
          <w:sz w:val="28"/>
          <w:szCs w:val="28"/>
        </w:rPr>
        <w:t>应当对其所提供的绩效评价相关资料的真实性、合法性和完整性负责。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根据湖南省财政厅《关于开展2018-2020年度市县政府专项债券项目资金绩效评价的通知》</w:t>
      </w:r>
      <w:r>
        <w:rPr>
          <w:rFonts w:hint="eastAsia" w:ascii="宋体" w:hAnsi="宋体" w:eastAsia="宋体" w:cs="宋体"/>
          <w:color w:val="000000"/>
          <w:sz w:val="28"/>
          <w:szCs w:val="28"/>
          <w:highlight w:val="none"/>
          <w:lang w:val="en-US" w:eastAsia="zh-CN"/>
        </w:rPr>
        <w:t>及云溪区</w:t>
      </w:r>
      <w:r>
        <w:rPr>
          <w:rFonts w:hint="eastAsia" w:ascii="宋体" w:hAnsi="宋体" w:eastAsia="宋体" w:cs="宋体"/>
          <w:bCs/>
          <w:color w:val="000000"/>
          <w:sz w:val="28"/>
          <w:szCs w:val="28"/>
          <w:highlight w:val="none"/>
        </w:rPr>
        <w:t>财政局《绩效</w:t>
      </w:r>
      <w:r>
        <w:rPr>
          <w:rFonts w:hint="eastAsia" w:ascii="宋体" w:hAnsi="宋体" w:eastAsia="宋体" w:cs="宋体"/>
          <w:bCs/>
          <w:color w:val="000000"/>
          <w:sz w:val="28"/>
          <w:szCs w:val="28"/>
          <w:highlight w:val="none"/>
          <w:lang w:val="en-US" w:eastAsia="zh-CN"/>
        </w:rPr>
        <w:t>管理</w:t>
      </w:r>
      <w:r>
        <w:rPr>
          <w:rFonts w:hint="eastAsia" w:ascii="宋体" w:hAnsi="宋体" w:eastAsia="宋体" w:cs="宋体"/>
          <w:bCs/>
          <w:color w:val="000000"/>
          <w:sz w:val="28"/>
          <w:szCs w:val="28"/>
          <w:highlight w:val="none"/>
        </w:rPr>
        <w:t>业务委托</w:t>
      </w:r>
      <w:r>
        <w:rPr>
          <w:rFonts w:hint="eastAsia" w:ascii="宋体" w:hAnsi="宋体" w:eastAsia="宋体" w:cs="宋体"/>
          <w:bCs/>
          <w:color w:val="000000"/>
          <w:sz w:val="28"/>
          <w:szCs w:val="28"/>
          <w:highlight w:val="none"/>
          <w:lang w:val="en-US" w:eastAsia="zh-CN"/>
        </w:rPr>
        <w:t>协议书</w:t>
      </w:r>
      <w:r>
        <w:rPr>
          <w:rFonts w:hint="eastAsia" w:ascii="宋体" w:hAnsi="宋体" w:eastAsia="宋体" w:cs="宋体"/>
          <w:bCs/>
          <w:color w:val="000000"/>
          <w:sz w:val="28"/>
          <w:szCs w:val="28"/>
          <w:highlight w:val="none"/>
        </w:rPr>
        <w:t>》</w:t>
      </w:r>
      <w:r>
        <w:rPr>
          <w:rFonts w:hint="eastAsia" w:ascii="宋体" w:hAnsi="宋体" w:eastAsia="宋体" w:cs="宋体"/>
          <w:color w:val="000000"/>
          <w:sz w:val="28"/>
          <w:szCs w:val="28"/>
          <w:highlight w:val="none"/>
        </w:rPr>
        <w:t>等有关要求</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lang w:val="en-US" w:eastAsia="zh-CN"/>
        </w:rPr>
        <w:t>我所本着客观、公正的原则，按照绩效评价工作方案确定的评价指标、评价标准和评</w:t>
      </w:r>
      <w:r>
        <w:rPr>
          <w:rFonts w:hint="eastAsia" w:ascii="宋体" w:hAnsi="宋体" w:eastAsia="宋体" w:cs="宋体"/>
          <w:color w:val="000000"/>
          <w:sz w:val="28"/>
          <w:szCs w:val="28"/>
          <w:lang w:val="en-US" w:eastAsia="zh-CN"/>
        </w:rPr>
        <w:t>价方法，对</w:t>
      </w:r>
      <w:r>
        <w:rPr>
          <w:rFonts w:hint="eastAsia" w:ascii="宋体" w:hAnsi="宋体" w:eastAsia="宋体" w:cs="宋体"/>
          <w:b w:val="0"/>
          <w:bCs w:val="0"/>
          <w:sz w:val="28"/>
          <w:szCs w:val="28"/>
          <w:lang w:val="en-US" w:eastAsia="zh-CN"/>
        </w:rPr>
        <w:t>项目建设情况</w:t>
      </w:r>
      <w:r>
        <w:rPr>
          <w:rFonts w:hint="eastAsia" w:ascii="宋体" w:hAnsi="宋体" w:eastAsia="宋体" w:cs="宋体"/>
          <w:color w:val="000000"/>
          <w:sz w:val="28"/>
          <w:szCs w:val="28"/>
        </w:rPr>
        <w:t>进行</w:t>
      </w:r>
      <w:r>
        <w:rPr>
          <w:rFonts w:hint="eastAsia" w:ascii="宋体" w:hAnsi="宋体" w:eastAsia="宋体" w:cs="宋体"/>
          <w:color w:val="000000"/>
          <w:sz w:val="28"/>
          <w:szCs w:val="28"/>
          <w:lang w:val="en-US" w:eastAsia="zh-CN"/>
        </w:rPr>
        <w:t>了较全面的分析和综合评价，形成了本报告</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一、项目基本情况</w:t>
      </w:r>
    </w:p>
    <w:p>
      <w:pPr>
        <w:keepNext w:val="0"/>
        <w:keepLines w:val="0"/>
        <w:pageBreakBefore w:val="0"/>
        <w:widowControl w:val="0"/>
        <w:kinsoku/>
        <w:wordWrap/>
        <w:overflowPunct/>
        <w:topLinePunct w:val="0"/>
        <w:autoSpaceDE/>
        <w:autoSpaceDN/>
        <w:bidi w:val="0"/>
        <w:adjustRightInd/>
        <w:snapToGrid/>
        <w:spacing w:line="520" w:lineRule="exact"/>
        <w:ind w:firstLine="422" w:firstLineChars="150"/>
        <w:textAlignment w:val="auto"/>
        <w:rPr>
          <w:rFonts w:hint="eastAsia" w:ascii="宋体" w:hAnsi="宋体" w:eastAsia="宋体" w:cs="宋体"/>
          <w:b/>
          <w:sz w:val="28"/>
          <w:szCs w:val="28"/>
          <w:lang w:val="zh-CN"/>
        </w:rPr>
      </w:pPr>
      <w:r>
        <w:rPr>
          <w:rFonts w:hint="eastAsia" w:ascii="宋体" w:hAnsi="宋体" w:eastAsia="宋体" w:cs="宋体"/>
          <w:b/>
          <w:sz w:val="28"/>
          <w:szCs w:val="28"/>
          <w:lang w:val="zh-CN"/>
        </w:rPr>
        <w:t>（一）</w:t>
      </w:r>
      <w:r>
        <w:rPr>
          <w:rFonts w:hint="eastAsia" w:ascii="宋体" w:hAnsi="宋体" w:eastAsia="宋体" w:cs="宋体"/>
          <w:b/>
          <w:sz w:val="28"/>
          <w:szCs w:val="28"/>
          <w:lang w:val="en-US" w:eastAsia="zh-CN"/>
        </w:rPr>
        <w:t>项目</w:t>
      </w:r>
      <w:r>
        <w:rPr>
          <w:rFonts w:hint="eastAsia" w:ascii="宋体" w:hAnsi="宋体" w:eastAsia="宋体" w:cs="宋体"/>
          <w:b/>
          <w:sz w:val="28"/>
          <w:szCs w:val="28"/>
          <w:lang w:val="zh-CN"/>
        </w:rPr>
        <w:t>概况</w:t>
      </w:r>
    </w:p>
    <w:p>
      <w:pPr>
        <w:keepNext w:val="0"/>
        <w:keepLines w:val="0"/>
        <w:pageBreakBefore w:val="0"/>
        <w:widowControl w:val="0"/>
        <w:kinsoku/>
        <w:wordWrap/>
        <w:overflowPunct/>
        <w:topLinePunct w:val="0"/>
        <w:autoSpaceDE/>
        <w:autoSpaceDN/>
        <w:bidi w:val="0"/>
        <w:adjustRightInd/>
        <w:snapToGrid/>
        <w:spacing w:line="520" w:lineRule="exact"/>
        <w:ind w:firstLine="703" w:firstLineChars="250"/>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color w:val="auto"/>
          <w:sz w:val="28"/>
          <w:szCs w:val="28"/>
        </w:rPr>
        <w:t>1</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项目背景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为打好碧海蓝天保卫战，保护长江流域水生态环境，改善人居环境，构建和谐社会的需要，根据《洞庭湖生态环境专项整治三年行动计划（2018-2020）精神，经岳阳市国家投资项目评审中心出具的审查意见、云溪区政府及岳阳市环境保护局云溪区分局、岳阳市自然资源和规划局云溪区分局、云溪区财政局等部门出具的审查意见，同意实施了本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2" w:firstLineChars="200"/>
        <w:jc w:val="lef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2、项目基本情况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sz w:val="28"/>
          <w:szCs w:val="28"/>
          <w:lang w:val="en-US" w:eastAsia="zh-CN"/>
        </w:rPr>
        <w:t>本项目为云溪区配套基础设施新建项目，建设地点为岳阳市云溪区路口镇南岳村，占地面积22.1亩。</w:t>
      </w:r>
      <w:r>
        <w:rPr>
          <w:rFonts w:hint="eastAsia" w:ascii="宋体" w:hAnsi="宋体" w:eastAsia="宋体" w:cs="宋体"/>
          <w:b w:val="0"/>
          <w:bCs/>
          <w:color w:val="auto"/>
          <w:sz w:val="28"/>
          <w:szCs w:val="28"/>
          <w:lang w:val="en-US" w:eastAsia="zh-CN"/>
        </w:rPr>
        <w:t>项目总投资11155.13万元，资金来源于专项债券资金及业主单位自筹。</w:t>
      </w:r>
      <w:r>
        <w:rPr>
          <w:rFonts w:hint="eastAsia" w:ascii="宋体" w:hAnsi="宋体" w:eastAsia="宋体" w:cs="宋体"/>
          <w:b w:val="0"/>
          <w:bCs w:val="0"/>
          <w:sz w:val="28"/>
          <w:szCs w:val="28"/>
          <w:lang w:val="en-US" w:eastAsia="zh-CN"/>
        </w:rPr>
        <w:t>该项目为EPC总承包工程，于2020年4月26开工建设，2020年11月30日已完成污水处理厂及配套管网建设，并通水试运行。</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b/>
          <w:bCs/>
          <w:sz w:val="28"/>
          <w:szCs w:val="28"/>
          <w:highlight w:val="none"/>
          <w:lang w:val="en-US" w:eastAsia="zh-CN"/>
        </w:rPr>
        <w:t>项目业主单位基本情况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根据2019年9月19日</w:t>
      </w:r>
      <w:r>
        <w:rPr>
          <w:rFonts w:hint="eastAsia" w:ascii="宋体" w:hAnsi="宋体" w:eastAsia="宋体" w:cs="宋体"/>
          <w:b w:val="0"/>
          <w:bCs w:val="0"/>
          <w:sz w:val="28"/>
          <w:szCs w:val="28"/>
          <w:highlight w:val="none"/>
          <w:lang w:val="en-US" w:eastAsia="zh-CN"/>
        </w:rPr>
        <w:t>岳阳市发展和改革委员会（以下简称“市发改委”）</w:t>
      </w:r>
      <w:r>
        <w:rPr>
          <w:rFonts w:hint="eastAsia" w:ascii="宋体" w:hAnsi="宋体" w:eastAsia="宋体" w:cs="宋体"/>
          <w:sz w:val="28"/>
          <w:szCs w:val="28"/>
          <w:lang w:val="en-US" w:eastAsia="zh-CN"/>
        </w:rPr>
        <w:t>《关于核准岳阳市云溪区长岭污水处理厂项目申请报告（可行性研究报告代替）的批复》（岳发改审[2019]93号）（以下简称“立项批复”），项目业主为晨宇公司；2020年3月20日市发改委《关于变更岳阳市云溪区长岭污水处理厂项目业主的批复》（岳发改审[2020] 36号）（以下简称“业主变更批复”）项目业主由晨宇公司变更为云溪区住房和城乡建设局（以下简称“区住建局”）。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sz w:val="28"/>
          <w:szCs w:val="28"/>
          <w:lang w:val="en-US" w:eastAsia="zh-CN"/>
        </w:rPr>
        <w:t>晨宇公司是云溪区城市建设投资有限公司（以下简称“区城建投公司”的全额子公司，公司</w:t>
      </w:r>
      <w:r>
        <w:rPr>
          <w:rFonts w:hint="eastAsia" w:ascii="宋体" w:hAnsi="宋体" w:eastAsia="宋体" w:cs="宋体"/>
          <w:sz w:val="28"/>
          <w:szCs w:val="28"/>
        </w:rPr>
        <w:t>实行独立经营核算，自负盈亏。公司注册资本全部由</w:t>
      </w:r>
      <w:r>
        <w:rPr>
          <w:rFonts w:hint="eastAsia" w:ascii="宋体" w:hAnsi="宋体" w:eastAsia="宋体" w:cs="宋体"/>
          <w:sz w:val="28"/>
          <w:szCs w:val="28"/>
          <w:lang w:val="en-US" w:eastAsia="zh-CN"/>
        </w:rPr>
        <w:t>区城建投公司</w:t>
      </w:r>
      <w:r>
        <w:rPr>
          <w:rFonts w:hint="eastAsia" w:ascii="宋体" w:hAnsi="宋体" w:eastAsia="宋体" w:cs="宋体"/>
          <w:sz w:val="28"/>
          <w:szCs w:val="28"/>
        </w:rPr>
        <w:t>投入，注册资本金18</w:t>
      </w:r>
      <w:r>
        <w:rPr>
          <w:rFonts w:hint="eastAsia" w:ascii="宋体" w:hAnsi="宋体" w:eastAsia="宋体" w:cs="宋体"/>
          <w:sz w:val="28"/>
          <w:szCs w:val="28"/>
          <w:lang w:val="en-US" w:eastAsia="zh-CN"/>
        </w:rPr>
        <w:t>,</w:t>
      </w:r>
      <w:r>
        <w:rPr>
          <w:rFonts w:hint="eastAsia" w:ascii="宋体" w:hAnsi="宋体" w:eastAsia="宋体" w:cs="宋体"/>
          <w:sz w:val="28"/>
          <w:szCs w:val="28"/>
        </w:rPr>
        <w:t>000万元</w:t>
      </w:r>
      <w:r>
        <w:rPr>
          <w:rFonts w:hint="eastAsia" w:ascii="宋体" w:hAnsi="宋体" w:eastAsia="宋体" w:cs="宋体"/>
          <w:sz w:val="28"/>
          <w:szCs w:val="28"/>
          <w:lang w:eastAsia="zh-CN"/>
        </w:rPr>
        <w:t>，</w:t>
      </w:r>
      <w:r>
        <w:rPr>
          <w:rFonts w:hint="eastAsia" w:ascii="宋体" w:hAnsi="宋体" w:eastAsia="宋体" w:cs="宋体"/>
          <w:color w:val="000000"/>
          <w:sz w:val="28"/>
          <w:szCs w:val="28"/>
        </w:rPr>
        <w:t>公司的主要职能</w:t>
      </w:r>
      <w:r>
        <w:rPr>
          <w:rFonts w:hint="eastAsia" w:ascii="宋体" w:hAnsi="宋体" w:eastAsia="宋体" w:cs="宋体"/>
          <w:color w:val="000000"/>
          <w:sz w:val="28"/>
          <w:szCs w:val="28"/>
          <w:lang w:val="en-US" w:eastAsia="zh-CN"/>
        </w:rPr>
        <w:t>是</w:t>
      </w:r>
      <w:r>
        <w:rPr>
          <w:rFonts w:hint="eastAsia" w:ascii="宋体" w:hAnsi="宋体" w:eastAsia="宋体" w:cs="宋体"/>
          <w:color w:val="000000"/>
          <w:sz w:val="28"/>
          <w:szCs w:val="28"/>
        </w:rPr>
        <w:t>生态环境修复工程，水利污染控制与治理技术开发及工程施工，生态河道治理。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sz w:val="28"/>
          <w:szCs w:val="28"/>
          <w:lang w:val="en-US" w:eastAsia="zh-CN"/>
        </w:rPr>
        <w:t xml:space="preserve">区住建局位于岳阳市云溪区云溪大道35号，主管参与城建计划的编制和城建重点项目库的建设；负责对中心城区市政工程建设项目进行全程管理，对中心城区单一项目投资在一定规模以上的其他政府投资工程建设的监管；负责组织实施由政府投资的非经营性城市公用建设项目新建、改建和扩建工程；组织协调实施城市综合开发和旧城改造工作。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2" w:firstLineChars="200"/>
        <w:jc w:val="lef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4、主要建设</w:t>
      </w:r>
      <w:r>
        <w:rPr>
          <w:rFonts w:hint="eastAsia" w:ascii="宋体" w:hAnsi="宋体" w:eastAsia="宋体" w:cs="宋体"/>
          <w:b/>
          <w:bCs w:val="0"/>
          <w:color w:val="auto"/>
          <w:sz w:val="28"/>
          <w:szCs w:val="28"/>
          <w:lang w:val="en-US" w:eastAsia="zh-CN"/>
        </w:rPr>
        <w:t>规模及</w:t>
      </w:r>
      <w:r>
        <w:rPr>
          <w:rFonts w:hint="eastAsia" w:ascii="宋体" w:hAnsi="宋体" w:eastAsia="宋体" w:cs="宋体"/>
          <w:b/>
          <w:bCs/>
          <w:color w:val="auto"/>
          <w:sz w:val="28"/>
          <w:szCs w:val="28"/>
          <w:lang w:val="en-US" w:eastAsia="zh-CN"/>
        </w:rPr>
        <w:t>内容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sz w:val="28"/>
          <w:szCs w:val="28"/>
          <w:highlight w:val="none"/>
          <w:lang w:val="en-US" w:eastAsia="zh-CN"/>
        </w:rPr>
        <w:t>新建一座污水处理厂及配套设施和云溪区长街办片区、八字门片区和路口片区污水管网。</w:t>
      </w:r>
      <w:r>
        <w:rPr>
          <w:rFonts w:hint="eastAsia" w:ascii="宋体" w:hAnsi="宋体" w:eastAsia="宋体" w:cs="宋体"/>
          <w:b w:val="0"/>
          <w:bCs/>
          <w:color w:val="auto"/>
          <w:sz w:val="28"/>
          <w:szCs w:val="28"/>
          <w:lang w:val="en-US" w:eastAsia="zh-CN"/>
        </w:rPr>
        <w:t>污水厂处理规模1.0万m</w:t>
      </w:r>
      <w:r>
        <w:rPr>
          <w:rFonts w:hint="eastAsia" w:ascii="宋体" w:hAnsi="宋体" w:eastAsia="宋体" w:cs="宋体"/>
          <w:b w:val="0"/>
          <w:bCs/>
          <w:color w:val="auto"/>
          <w:sz w:val="28"/>
          <w:szCs w:val="28"/>
          <w:vertAlign w:val="superscript"/>
          <w:lang w:val="en-US" w:eastAsia="zh-CN"/>
        </w:rPr>
        <w:t>3</w:t>
      </w:r>
      <w:r>
        <w:rPr>
          <w:rFonts w:hint="eastAsia" w:ascii="宋体" w:hAnsi="宋体" w:eastAsia="宋体" w:cs="宋体"/>
          <w:b w:val="0"/>
          <w:bCs/>
          <w:color w:val="auto"/>
          <w:sz w:val="28"/>
          <w:szCs w:val="28"/>
          <w:lang w:val="en-US" w:eastAsia="zh-CN"/>
        </w:rPr>
        <w:t>/d，土建按照1.0万m</w:t>
      </w:r>
      <w:r>
        <w:rPr>
          <w:rFonts w:hint="eastAsia" w:ascii="宋体" w:hAnsi="宋体" w:eastAsia="宋体" w:cs="宋体"/>
          <w:b w:val="0"/>
          <w:bCs/>
          <w:color w:val="auto"/>
          <w:sz w:val="28"/>
          <w:szCs w:val="28"/>
          <w:vertAlign w:val="superscript"/>
          <w:lang w:val="en-US" w:eastAsia="zh-CN"/>
        </w:rPr>
        <w:t>3</w:t>
      </w:r>
      <w:r>
        <w:rPr>
          <w:rFonts w:hint="eastAsia" w:ascii="宋体" w:hAnsi="宋体" w:eastAsia="宋体" w:cs="宋体"/>
          <w:b w:val="0"/>
          <w:bCs/>
          <w:color w:val="auto"/>
          <w:sz w:val="28"/>
          <w:szCs w:val="28"/>
          <w:lang w:val="en-US" w:eastAsia="zh-CN"/>
        </w:rPr>
        <w:t>/建设，设备根据实际水量分二期配置，一期按0.5万m</w:t>
      </w:r>
      <w:r>
        <w:rPr>
          <w:rFonts w:hint="eastAsia" w:ascii="宋体" w:hAnsi="宋体" w:eastAsia="宋体" w:cs="宋体"/>
          <w:b w:val="0"/>
          <w:bCs/>
          <w:color w:val="auto"/>
          <w:sz w:val="28"/>
          <w:szCs w:val="28"/>
          <w:vertAlign w:val="superscript"/>
          <w:lang w:val="en-US" w:eastAsia="zh-CN"/>
        </w:rPr>
        <w:t>3</w:t>
      </w:r>
      <w:r>
        <w:rPr>
          <w:rFonts w:hint="eastAsia" w:ascii="宋体" w:hAnsi="宋体" w:eastAsia="宋体" w:cs="宋体"/>
          <w:b w:val="0"/>
          <w:bCs/>
          <w:color w:val="auto"/>
          <w:sz w:val="28"/>
          <w:szCs w:val="28"/>
          <w:lang w:val="en-US" w:eastAsia="zh-CN"/>
        </w:rPr>
        <w:t>/d配置，二期按1.0万m</w:t>
      </w:r>
      <w:r>
        <w:rPr>
          <w:rFonts w:hint="eastAsia" w:ascii="宋体" w:hAnsi="宋体" w:eastAsia="宋体" w:cs="宋体"/>
          <w:b w:val="0"/>
          <w:bCs/>
          <w:color w:val="auto"/>
          <w:sz w:val="28"/>
          <w:szCs w:val="28"/>
          <w:vertAlign w:val="superscript"/>
          <w:lang w:val="en-US" w:eastAsia="zh-CN"/>
        </w:rPr>
        <w:t>3</w:t>
      </w:r>
      <w:r>
        <w:rPr>
          <w:rFonts w:hint="eastAsia" w:ascii="宋体" w:hAnsi="宋体" w:eastAsia="宋体" w:cs="宋体"/>
          <w:b w:val="0"/>
          <w:bCs/>
          <w:color w:val="auto"/>
          <w:sz w:val="28"/>
          <w:szCs w:val="28"/>
          <w:lang w:val="en-US" w:eastAsia="zh-CN"/>
        </w:rPr>
        <w:t>/d配置。污水处理采用“二级处理+深度处理”工艺，设计出水水质达到《城镇污水处理厂污染物排放标准》（GB18918-2002)一级A标排放。</w:t>
      </w:r>
    </w:p>
    <w:p>
      <w:pPr>
        <w:keepNext w:val="0"/>
        <w:keepLines w:val="0"/>
        <w:pageBreakBefore w:val="0"/>
        <w:kinsoku/>
        <w:wordWrap/>
        <w:overflowPunct/>
        <w:topLinePunct w:val="0"/>
        <w:autoSpaceDE/>
        <w:bidi w:val="0"/>
        <w:adjustRightInd/>
        <w:snapToGrid/>
        <w:spacing w:line="52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5、项目实施</w:t>
      </w:r>
      <w:r>
        <w:rPr>
          <w:rFonts w:hint="eastAsia" w:ascii="宋体" w:hAnsi="宋体" w:eastAsia="宋体" w:cs="宋体"/>
          <w:b/>
          <w:bCs/>
          <w:sz w:val="28"/>
          <w:szCs w:val="28"/>
        </w:rPr>
        <w:t>进展情况</w:t>
      </w:r>
    </w:p>
    <w:p>
      <w:pPr>
        <w:keepNext w:val="0"/>
        <w:keepLines w:val="0"/>
        <w:pageBreakBefore w:val="0"/>
        <w:kinsoku/>
        <w:wordWrap/>
        <w:overflowPunct/>
        <w:topLinePunct w:val="0"/>
        <w:autoSpaceDE/>
        <w:bidi w:val="0"/>
        <w:adjustRightInd/>
        <w:snapToGrid/>
        <w:spacing w:line="52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成立</w:t>
      </w:r>
      <w:r>
        <w:rPr>
          <w:rFonts w:hint="eastAsia" w:ascii="宋体" w:hAnsi="宋体" w:eastAsia="宋体" w:cs="宋体"/>
          <w:b/>
          <w:bCs/>
          <w:sz w:val="28"/>
          <w:szCs w:val="28"/>
          <w:lang w:val="en-US" w:eastAsia="zh-CN"/>
        </w:rPr>
        <w:t>项目领导机构</w:t>
      </w:r>
      <w:r>
        <w:rPr>
          <w:rFonts w:hint="eastAsia" w:ascii="宋体" w:hAnsi="宋体" w:eastAsia="宋体" w:cs="宋体"/>
          <w:b/>
          <w:bCs/>
          <w:sz w:val="28"/>
          <w:szCs w:val="28"/>
        </w:rPr>
        <w:t>。</w:t>
      </w:r>
      <w:r>
        <w:rPr>
          <w:rFonts w:hint="eastAsia" w:ascii="宋体" w:hAnsi="宋体" w:eastAsia="宋体" w:cs="宋体"/>
          <w:sz w:val="28"/>
          <w:szCs w:val="28"/>
        </w:rPr>
        <w:t>2019年7月4日</w:t>
      </w:r>
      <w:r>
        <w:rPr>
          <w:rFonts w:hint="eastAsia" w:ascii="宋体" w:hAnsi="宋体" w:eastAsia="宋体" w:cs="宋体"/>
          <w:b/>
          <w:bCs/>
          <w:sz w:val="28"/>
          <w:szCs w:val="28"/>
        </w:rPr>
        <w:t>，</w:t>
      </w:r>
      <w:r>
        <w:rPr>
          <w:rFonts w:hint="eastAsia" w:ascii="宋体" w:hAnsi="宋体" w:eastAsia="宋体" w:cs="宋体"/>
          <w:sz w:val="28"/>
          <w:szCs w:val="28"/>
        </w:rPr>
        <w:t>成立岳阳市云溪区长岭污水处理项目建设协调指挥部</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以下简称“</w:t>
      </w:r>
      <w:r>
        <w:rPr>
          <w:rFonts w:hint="eastAsia" w:ascii="宋体" w:hAnsi="宋体" w:eastAsia="宋体" w:cs="宋体"/>
          <w:sz w:val="28"/>
          <w:szCs w:val="28"/>
        </w:rPr>
        <w:t>建设协调指挥部</w:t>
      </w:r>
      <w:r>
        <w:rPr>
          <w:rFonts w:hint="eastAsia" w:ascii="宋体" w:hAnsi="宋体" w:eastAsia="宋体" w:cs="宋体"/>
          <w:sz w:val="28"/>
          <w:szCs w:val="28"/>
          <w:lang w:eastAsia="zh-CN"/>
        </w:rPr>
        <w:t>”）</w:t>
      </w:r>
      <w:r>
        <w:rPr>
          <w:rFonts w:hint="eastAsia" w:ascii="宋体" w:hAnsi="宋体" w:eastAsia="宋体" w:cs="宋体"/>
          <w:sz w:val="28"/>
          <w:szCs w:val="28"/>
        </w:rPr>
        <w:t>，由分管副区长任指挥长，区住建局、区城建投单位负责人任副指挥长，区政法委、区财政局、区发改局、区自规分局、区环保分局、区林业局、区水利局、长岭街道、路口镇等单位分管负责人为成员。</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（2）项目</w:t>
      </w:r>
      <w:r>
        <w:rPr>
          <w:rFonts w:hint="eastAsia" w:ascii="宋体" w:hAnsi="宋体" w:eastAsia="宋体" w:cs="宋体"/>
          <w:b/>
          <w:bCs/>
          <w:sz w:val="28"/>
          <w:szCs w:val="28"/>
        </w:rPr>
        <w:t>前期手续办理情况</w:t>
      </w:r>
      <w:r>
        <w:rPr>
          <w:rFonts w:hint="eastAsia" w:ascii="宋体" w:hAnsi="宋体" w:eastAsia="宋体" w:cs="宋体"/>
          <w:b/>
          <w:bCs/>
          <w:sz w:val="28"/>
          <w:szCs w:val="28"/>
          <w:lang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sz w:val="28"/>
          <w:szCs w:val="28"/>
        </w:rPr>
      </w:pPr>
      <w:r>
        <w:rPr>
          <w:rFonts w:hint="eastAsia" w:ascii="宋体" w:hAnsi="宋体" w:eastAsia="宋体" w:cs="宋体"/>
          <w:b/>
          <w:bCs/>
          <w:sz w:val="28"/>
          <w:szCs w:val="28"/>
          <w:lang w:val="en-US" w:eastAsia="zh-CN"/>
        </w:rPr>
        <w:t>一是</w:t>
      </w:r>
      <w:r>
        <w:rPr>
          <w:rFonts w:hint="eastAsia" w:ascii="宋体" w:hAnsi="宋体" w:eastAsia="宋体" w:cs="宋体"/>
          <w:b/>
          <w:bCs/>
          <w:sz w:val="28"/>
          <w:szCs w:val="28"/>
        </w:rPr>
        <w:t>可研批复</w:t>
      </w:r>
      <w:r>
        <w:rPr>
          <w:rFonts w:hint="eastAsia" w:ascii="宋体" w:hAnsi="宋体" w:eastAsia="宋体" w:cs="宋体"/>
          <w:b/>
          <w:bCs/>
          <w:sz w:val="28"/>
          <w:szCs w:val="28"/>
          <w:lang w:val="en-US" w:eastAsia="zh-CN"/>
        </w:rPr>
        <w:t>情况：</w:t>
      </w:r>
      <w:r>
        <w:rPr>
          <w:rFonts w:hint="eastAsia" w:ascii="宋体" w:hAnsi="宋体" w:eastAsia="宋体" w:cs="宋体"/>
          <w:b w:val="0"/>
          <w:bCs w:val="0"/>
          <w:sz w:val="28"/>
          <w:szCs w:val="28"/>
          <w:highlight w:val="none"/>
          <w:lang w:val="en-US" w:eastAsia="zh-CN"/>
        </w:rPr>
        <w:t>2019年9月19日市发改委对云溪区发展改革局发送立项批复，核准项目建设规模为新建1座污水处理厂，新增长街办片区、八字门片区和路口片区污水管网。总投资估算11155.13万元，其中工程费用9179.64万元，其他工程费用1149.18万元，预备费826.31万元。项目业主为晨宇公司，资金来源为项目自筹。2020年3月20日，市发改委对云溪区发展改革局发送《关于变更岳阳市云溪区长岭污水处理厂项目业主的批复》，同意业主单位由晨宇公司变更为云溪区住房和城乡建设局。</w:t>
      </w:r>
      <w:r>
        <w:rPr>
          <w:rFonts w:hint="eastAsia" w:ascii="宋体" w:hAnsi="宋体" w:eastAsia="宋体" w:cs="宋体"/>
          <w:sz w:val="28"/>
          <w:szCs w:val="28"/>
          <w:lang w:val="en-US" w:eastAsia="zh-CN"/>
        </w:rPr>
        <w:t>二是</w:t>
      </w:r>
      <w:r>
        <w:rPr>
          <w:rFonts w:hint="eastAsia" w:ascii="宋体" w:hAnsi="宋体" w:eastAsia="宋体" w:cs="宋体"/>
          <w:b/>
          <w:bCs/>
          <w:sz w:val="28"/>
          <w:szCs w:val="28"/>
        </w:rPr>
        <w:t>环评批复</w:t>
      </w:r>
      <w:r>
        <w:rPr>
          <w:rFonts w:hint="eastAsia" w:ascii="宋体" w:hAnsi="宋体" w:eastAsia="宋体" w:cs="宋体"/>
          <w:b/>
          <w:bCs/>
          <w:sz w:val="28"/>
          <w:szCs w:val="28"/>
          <w:lang w:val="en-US" w:eastAsia="zh-CN"/>
        </w:rPr>
        <w:t>情况：</w:t>
      </w:r>
      <w:r>
        <w:rPr>
          <w:rFonts w:hint="eastAsia" w:ascii="宋体" w:hAnsi="宋体" w:eastAsia="宋体" w:cs="宋体"/>
          <w:sz w:val="28"/>
          <w:szCs w:val="28"/>
        </w:rPr>
        <w:t>2020年3月18日，</w:t>
      </w:r>
      <w:r>
        <w:rPr>
          <w:rFonts w:hint="eastAsia" w:ascii="宋体" w:hAnsi="宋体" w:eastAsia="宋体" w:cs="宋体"/>
          <w:sz w:val="28"/>
          <w:szCs w:val="28"/>
          <w:lang w:val="en-US" w:eastAsia="zh-CN"/>
        </w:rPr>
        <w:t>岳阳市生态环境局云溪分局</w:t>
      </w:r>
      <w:r>
        <w:rPr>
          <w:rFonts w:hint="eastAsia" w:ascii="宋体" w:hAnsi="宋体" w:eastAsia="宋体" w:cs="宋体"/>
          <w:sz w:val="28"/>
          <w:szCs w:val="28"/>
        </w:rPr>
        <w:t>出具</w:t>
      </w:r>
      <w:r>
        <w:rPr>
          <w:rFonts w:hint="eastAsia" w:ascii="宋体" w:hAnsi="宋体" w:eastAsia="宋体" w:cs="宋体"/>
          <w:sz w:val="28"/>
          <w:szCs w:val="28"/>
          <w:lang w:eastAsia="zh-CN"/>
        </w:rPr>
        <w:t>《</w:t>
      </w:r>
      <w:r>
        <w:rPr>
          <w:rFonts w:hint="eastAsia" w:ascii="宋体" w:hAnsi="宋体" w:eastAsia="宋体" w:cs="宋体"/>
          <w:color w:val="auto"/>
          <w:sz w:val="28"/>
          <w:szCs w:val="28"/>
          <w:lang w:val="en-US" w:eastAsia="zh-CN"/>
        </w:rPr>
        <w:t>关于岳阳市云溪区长岭污水处</w:t>
      </w:r>
      <w:r>
        <w:rPr>
          <w:rFonts w:hint="eastAsia" w:ascii="宋体" w:hAnsi="宋体" w:eastAsia="宋体" w:cs="宋体"/>
          <w:sz w:val="28"/>
          <w:szCs w:val="28"/>
          <w:lang w:val="en-US" w:eastAsia="zh-CN"/>
        </w:rPr>
        <w:t>理厂（1万</w:t>
      </w:r>
      <w:r>
        <w:rPr>
          <w:rFonts w:hint="eastAsia" w:ascii="宋体" w:hAnsi="宋体" w:eastAsia="宋体" w:cs="宋体"/>
          <w:sz w:val="28"/>
          <w:szCs w:val="28"/>
        </w:rPr>
        <w:t>m³</w:t>
      </w:r>
      <w:r>
        <w:rPr>
          <w:rFonts w:hint="eastAsia" w:ascii="宋体" w:hAnsi="宋体" w:eastAsia="宋体" w:cs="宋体"/>
          <w:sz w:val="28"/>
          <w:szCs w:val="28"/>
          <w:lang w:val="en-US" w:eastAsia="zh-CN"/>
        </w:rPr>
        <w:t>/d）建设项目环境影响报告表的批复》。</w:t>
      </w:r>
      <w:r>
        <w:rPr>
          <w:rFonts w:hint="eastAsia" w:ascii="宋体" w:hAnsi="宋体" w:eastAsia="宋体" w:cs="宋体"/>
          <w:b/>
          <w:bCs/>
          <w:sz w:val="28"/>
          <w:szCs w:val="28"/>
          <w:lang w:val="en-US" w:eastAsia="zh-CN"/>
        </w:rPr>
        <w:t>三是</w:t>
      </w:r>
      <w:r>
        <w:rPr>
          <w:rFonts w:hint="eastAsia" w:ascii="宋体" w:hAnsi="宋体" w:eastAsia="宋体" w:cs="宋体"/>
          <w:b/>
          <w:bCs/>
          <w:sz w:val="28"/>
          <w:szCs w:val="28"/>
        </w:rPr>
        <w:t>国土审批</w:t>
      </w:r>
      <w:r>
        <w:rPr>
          <w:rFonts w:hint="eastAsia" w:ascii="宋体" w:hAnsi="宋体" w:eastAsia="宋体" w:cs="宋体"/>
          <w:b/>
          <w:bCs/>
          <w:sz w:val="28"/>
          <w:szCs w:val="28"/>
          <w:lang w:val="en-US" w:eastAsia="zh-CN"/>
        </w:rPr>
        <w:t>情况</w:t>
      </w:r>
      <w:r>
        <w:rPr>
          <w:rFonts w:hint="eastAsia" w:ascii="宋体" w:hAnsi="宋体" w:eastAsia="宋体" w:cs="宋体"/>
          <w:b/>
          <w:bCs/>
          <w:sz w:val="28"/>
          <w:szCs w:val="28"/>
          <w:lang w:eastAsia="zh-CN"/>
        </w:rPr>
        <w:t>：</w:t>
      </w:r>
      <w:r>
        <w:rPr>
          <w:rFonts w:hint="eastAsia" w:ascii="宋体" w:hAnsi="宋体" w:eastAsia="宋体" w:cs="宋体"/>
          <w:sz w:val="28"/>
          <w:szCs w:val="28"/>
        </w:rPr>
        <w:t>2020年5月18日，</w:t>
      </w:r>
      <w:r>
        <w:rPr>
          <w:rFonts w:hint="eastAsia" w:ascii="宋体" w:hAnsi="宋体" w:eastAsia="宋体" w:cs="宋体"/>
          <w:sz w:val="28"/>
          <w:szCs w:val="28"/>
          <w:lang w:val="en-US" w:eastAsia="zh-CN"/>
        </w:rPr>
        <w:t>岳阳</w:t>
      </w:r>
      <w:r>
        <w:rPr>
          <w:rFonts w:hint="eastAsia" w:ascii="宋体" w:hAnsi="宋体" w:eastAsia="宋体" w:cs="宋体"/>
          <w:sz w:val="28"/>
          <w:szCs w:val="28"/>
        </w:rPr>
        <w:t>市</w:t>
      </w:r>
      <w:r>
        <w:rPr>
          <w:rFonts w:hint="eastAsia" w:ascii="宋体" w:hAnsi="宋体" w:eastAsia="宋体" w:cs="宋体"/>
          <w:sz w:val="28"/>
          <w:szCs w:val="28"/>
          <w:lang w:val="en-US" w:eastAsia="zh-CN"/>
        </w:rPr>
        <w:t>自然资源和规划</w:t>
      </w:r>
      <w:r>
        <w:rPr>
          <w:rFonts w:hint="eastAsia" w:ascii="宋体" w:hAnsi="宋体" w:eastAsia="宋体" w:cs="宋体"/>
          <w:sz w:val="28"/>
          <w:szCs w:val="28"/>
        </w:rPr>
        <w:t>局出具用地预审与选址意见书；</w:t>
      </w:r>
      <w:r>
        <w:rPr>
          <w:rFonts w:hint="eastAsia" w:ascii="宋体" w:hAnsi="宋体" w:eastAsia="宋体" w:cs="宋体"/>
          <w:b/>
          <w:bCs/>
          <w:sz w:val="28"/>
          <w:szCs w:val="28"/>
          <w:lang w:val="en-US" w:eastAsia="zh-CN"/>
        </w:rPr>
        <w:t>四是</w:t>
      </w:r>
      <w:r>
        <w:rPr>
          <w:rFonts w:hint="eastAsia" w:ascii="宋体" w:hAnsi="宋体" w:eastAsia="宋体" w:cs="宋体"/>
          <w:b/>
          <w:bCs/>
          <w:sz w:val="28"/>
          <w:szCs w:val="28"/>
        </w:rPr>
        <w:t>规划审批</w:t>
      </w:r>
      <w:r>
        <w:rPr>
          <w:rFonts w:hint="eastAsia" w:ascii="宋体" w:hAnsi="宋体" w:eastAsia="宋体" w:cs="宋体"/>
          <w:b/>
          <w:bCs/>
          <w:sz w:val="28"/>
          <w:szCs w:val="28"/>
          <w:lang w:val="en-US" w:eastAsia="zh-CN"/>
        </w:rPr>
        <w:t>情况</w:t>
      </w:r>
      <w:r>
        <w:rPr>
          <w:rFonts w:hint="eastAsia" w:ascii="宋体" w:hAnsi="宋体" w:eastAsia="宋体" w:cs="宋体"/>
          <w:b/>
          <w:bCs/>
          <w:sz w:val="28"/>
          <w:szCs w:val="28"/>
          <w:lang w:eastAsia="zh-CN"/>
        </w:rPr>
        <w:t>：</w:t>
      </w:r>
      <w:r>
        <w:rPr>
          <w:rFonts w:hint="eastAsia" w:ascii="宋体" w:hAnsi="宋体" w:eastAsia="宋体" w:cs="宋体"/>
          <w:sz w:val="28"/>
          <w:szCs w:val="28"/>
        </w:rPr>
        <w:t>2020年7月3日岳阳市自然资源和规划局云溪分局颁发《建设工程规划许可证》</w:t>
      </w:r>
      <w:r>
        <w:rPr>
          <w:rFonts w:hint="eastAsia" w:ascii="宋体" w:hAnsi="宋体" w:eastAsia="宋体" w:cs="宋体"/>
          <w:sz w:val="28"/>
          <w:szCs w:val="28"/>
          <w:lang w:eastAsia="zh-CN"/>
        </w:rPr>
        <w:t>；</w:t>
      </w:r>
      <w:r>
        <w:rPr>
          <w:rFonts w:hint="eastAsia" w:ascii="宋体" w:hAnsi="宋体" w:eastAsia="宋体" w:cs="宋体"/>
          <w:b/>
          <w:bCs/>
          <w:sz w:val="28"/>
          <w:szCs w:val="28"/>
          <w:lang w:val="en-US" w:eastAsia="zh-CN"/>
        </w:rPr>
        <w:t>五是</w:t>
      </w:r>
      <w:r>
        <w:rPr>
          <w:rFonts w:hint="eastAsia" w:ascii="宋体" w:hAnsi="宋体" w:eastAsia="宋体" w:cs="宋体"/>
          <w:b/>
          <w:bCs/>
          <w:sz w:val="28"/>
          <w:szCs w:val="28"/>
        </w:rPr>
        <w:t>勘察设计</w:t>
      </w:r>
      <w:r>
        <w:rPr>
          <w:rFonts w:hint="eastAsia" w:ascii="宋体" w:hAnsi="宋体" w:eastAsia="宋体" w:cs="宋体"/>
          <w:b/>
          <w:bCs/>
          <w:sz w:val="28"/>
          <w:szCs w:val="28"/>
          <w:lang w:val="en-US" w:eastAsia="zh-CN"/>
        </w:rPr>
        <w:t>情况</w:t>
      </w:r>
      <w:r>
        <w:rPr>
          <w:rFonts w:hint="eastAsia" w:ascii="宋体" w:hAnsi="宋体" w:eastAsia="宋体" w:cs="宋体"/>
          <w:b/>
          <w:bCs/>
          <w:sz w:val="28"/>
          <w:szCs w:val="28"/>
          <w:lang w:eastAsia="zh-CN"/>
        </w:rPr>
        <w:t>：</w:t>
      </w:r>
      <w:r>
        <w:rPr>
          <w:rFonts w:hint="eastAsia" w:ascii="宋体" w:hAnsi="宋体" w:eastAsia="宋体" w:cs="宋体"/>
          <w:sz w:val="28"/>
          <w:szCs w:val="28"/>
        </w:rPr>
        <w:t>2020年2月，核工业岳阳建设工程有限公司提交正式勘察报告文本；2020年2月26日，区住建局出具了初步设计审查批复。</w:t>
      </w:r>
    </w:p>
    <w:p>
      <w:pPr>
        <w:keepNext w:val="0"/>
        <w:keepLines w:val="0"/>
        <w:pageBreakBefore w:val="0"/>
        <w:numPr>
          <w:ilvl w:val="0"/>
          <w:numId w:val="0"/>
        </w:numPr>
        <w:kinsoku/>
        <w:wordWrap/>
        <w:overflowPunct/>
        <w:topLinePunct w:val="0"/>
        <w:autoSpaceDE/>
        <w:bidi w:val="0"/>
        <w:adjustRightInd/>
        <w:snapToGrid/>
        <w:spacing w:line="52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征地拆迁。</w:t>
      </w:r>
      <w:r>
        <w:rPr>
          <w:rFonts w:hint="eastAsia" w:ascii="宋体" w:hAnsi="宋体" w:eastAsia="宋体" w:cs="宋体"/>
          <w:sz w:val="28"/>
          <w:szCs w:val="28"/>
        </w:rPr>
        <w:t>2020年3月5日，与路口镇签订征地拆迁包干协议，征地22.1亩，拆迁房屋1栋，2018年3月15日交地。</w:t>
      </w:r>
    </w:p>
    <w:p>
      <w:pPr>
        <w:keepNext w:val="0"/>
        <w:keepLines w:val="0"/>
        <w:pageBreakBefore w:val="0"/>
        <w:kinsoku/>
        <w:wordWrap/>
        <w:overflowPunct/>
        <w:topLinePunct w:val="0"/>
        <w:autoSpaceDE/>
        <w:bidi w:val="0"/>
        <w:adjustRightInd/>
        <w:snapToGrid/>
        <w:spacing w:line="520" w:lineRule="exact"/>
        <w:ind w:firstLine="640"/>
        <w:rPr>
          <w:rFonts w:hint="eastAsia" w:ascii="宋体" w:hAnsi="宋体" w:eastAsia="宋体" w:cs="宋体"/>
          <w:sz w:val="28"/>
          <w:szCs w:val="28"/>
        </w:rPr>
      </w:pP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签订EPC总承包合同。</w:t>
      </w:r>
      <w:r>
        <w:rPr>
          <w:rFonts w:hint="eastAsia" w:ascii="宋体" w:hAnsi="宋体" w:eastAsia="宋体" w:cs="宋体"/>
          <w:sz w:val="28"/>
          <w:szCs w:val="28"/>
        </w:rPr>
        <w:t>2020年4月14日，完成了项目EPC招投标工作，湖南和庆源建设工程有限公司与湖南博世科环保科技有限公司组成联合体中标，签订总承包合同。</w:t>
      </w:r>
    </w:p>
    <w:p>
      <w:pPr>
        <w:keepNext w:val="0"/>
        <w:keepLines w:val="0"/>
        <w:pageBreakBefore w:val="0"/>
        <w:widowControl/>
        <w:kinsoku/>
        <w:wordWrap/>
        <w:overflowPunct/>
        <w:topLinePunct w:val="0"/>
        <w:autoSpaceDE/>
        <w:bidi w:val="0"/>
        <w:adjustRightInd/>
        <w:snapToGrid/>
        <w:spacing w:line="520" w:lineRule="exact"/>
        <w:ind w:firstLine="562" w:firstLineChars="200"/>
        <w:jc w:val="left"/>
        <w:rPr>
          <w:rFonts w:hint="eastAsia" w:ascii="宋体" w:hAnsi="宋体" w:eastAsia="宋体" w:cs="宋体"/>
          <w:sz w:val="28"/>
          <w:szCs w:val="28"/>
        </w:rPr>
      </w:pP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工程实施情况。</w:t>
      </w:r>
      <w:r>
        <w:rPr>
          <w:rFonts w:hint="eastAsia" w:ascii="宋体" w:hAnsi="宋体" w:eastAsia="宋体" w:cs="宋体"/>
          <w:b w:val="0"/>
          <w:bCs w:val="0"/>
          <w:sz w:val="28"/>
          <w:szCs w:val="28"/>
          <w:lang w:val="en-US" w:eastAsia="zh-CN"/>
        </w:rPr>
        <w:t>2020年7月9日取得建筑工程施工许可证</w:t>
      </w:r>
      <w:r>
        <w:rPr>
          <w:rFonts w:hint="eastAsia" w:ascii="宋体" w:hAnsi="宋体" w:eastAsia="宋体" w:cs="宋体"/>
          <w:b/>
          <w:bCs/>
          <w:sz w:val="28"/>
          <w:szCs w:val="28"/>
          <w:lang w:val="en-US" w:eastAsia="zh-CN"/>
        </w:rPr>
        <w:t>，</w:t>
      </w:r>
      <w:r>
        <w:rPr>
          <w:rFonts w:hint="eastAsia" w:ascii="宋体" w:hAnsi="宋体" w:eastAsia="宋体" w:cs="宋体"/>
          <w:spacing w:val="8"/>
          <w:sz w:val="28"/>
          <w:szCs w:val="28"/>
        </w:rPr>
        <w:t>2020年4月26日</w:t>
      </w:r>
      <w:r>
        <w:rPr>
          <w:rFonts w:hint="eastAsia" w:ascii="宋体" w:hAnsi="宋体" w:eastAsia="宋体" w:cs="宋体"/>
          <w:spacing w:val="8"/>
          <w:sz w:val="28"/>
          <w:szCs w:val="28"/>
          <w:lang w:val="en-US" w:eastAsia="zh-CN"/>
        </w:rPr>
        <w:t>提前</w:t>
      </w:r>
      <w:r>
        <w:rPr>
          <w:rFonts w:hint="eastAsia" w:ascii="宋体" w:hAnsi="宋体" w:eastAsia="宋体" w:cs="宋体"/>
          <w:spacing w:val="8"/>
          <w:sz w:val="28"/>
          <w:szCs w:val="28"/>
        </w:rPr>
        <w:t>正式开工建设，为了确保今年12月底</w:t>
      </w:r>
      <w:r>
        <w:rPr>
          <w:rFonts w:hint="eastAsia" w:ascii="宋体" w:hAnsi="宋体" w:eastAsia="宋体" w:cs="宋体"/>
          <w:sz w:val="28"/>
          <w:szCs w:val="28"/>
        </w:rPr>
        <w:t>完成项目建设并通水试运行的目标</w:t>
      </w:r>
      <w:r>
        <w:rPr>
          <w:rFonts w:hint="eastAsia" w:ascii="宋体" w:hAnsi="宋体" w:eastAsia="宋体" w:cs="宋体"/>
          <w:spacing w:val="8"/>
          <w:sz w:val="28"/>
          <w:szCs w:val="28"/>
        </w:rPr>
        <w:t>，区政府高度重视，成立专班，加强调度，督促施工单位采取得力措施加快建设。</w:t>
      </w:r>
      <w:r>
        <w:rPr>
          <w:rFonts w:hint="eastAsia" w:ascii="宋体" w:hAnsi="宋体" w:eastAsia="宋体" w:cs="宋体"/>
          <w:spacing w:val="8"/>
          <w:sz w:val="28"/>
          <w:szCs w:val="28"/>
          <w:lang w:val="en-US" w:eastAsia="zh-CN"/>
        </w:rPr>
        <w:t>晨宇</w:t>
      </w:r>
      <w:r>
        <w:rPr>
          <w:rFonts w:hint="eastAsia" w:ascii="宋体" w:hAnsi="宋体" w:eastAsia="宋体" w:cs="宋体"/>
          <w:spacing w:val="8"/>
          <w:sz w:val="28"/>
          <w:szCs w:val="28"/>
        </w:rPr>
        <w:t>公司又专门制</w:t>
      </w:r>
      <w:r>
        <w:rPr>
          <w:rFonts w:hint="eastAsia" w:ascii="宋体" w:hAnsi="宋体" w:eastAsia="宋体" w:cs="宋体"/>
          <w:spacing w:val="8"/>
          <w:sz w:val="28"/>
          <w:szCs w:val="28"/>
          <w:lang w:val="en-US" w:eastAsia="zh-CN"/>
        </w:rPr>
        <w:t>订</w:t>
      </w:r>
      <w:r>
        <w:rPr>
          <w:rFonts w:hint="eastAsia" w:ascii="宋体" w:hAnsi="宋体" w:eastAsia="宋体" w:cs="宋体"/>
          <w:spacing w:val="8"/>
          <w:sz w:val="28"/>
          <w:szCs w:val="28"/>
        </w:rPr>
        <w:t>了</w:t>
      </w:r>
      <w:r>
        <w:rPr>
          <w:rFonts w:hint="eastAsia" w:ascii="宋体" w:hAnsi="宋体" w:eastAsia="宋体" w:cs="宋体"/>
          <w:sz w:val="28"/>
          <w:szCs w:val="28"/>
        </w:rPr>
        <w:t>详细的倒排工期计划，严格按照进度计划监督实施，如发现节点工期延后，及时采取纠偏措施，保证项目如期完成</w:t>
      </w:r>
      <w:r>
        <w:rPr>
          <w:rFonts w:hint="eastAsia" w:ascii="宋体" w:hAnsi="宋体" w:eastAsia="宋体" w:cs="宋体"/>
          <w:spacing w:val="8"/>
          <w:sz w:val="28"/>
          <w:szCs w:val="28"/>
        </w:rPr>
        <w:t>。</w:t>
      </w:r>
      <w:r>
        <w:rPr>
          <w:rFonts w:hint="eastAsia" w:ascii="宋体" w:hAnsi="宋体" w:eastAsia="宋体" w:cs="宋体"/>
          <w:sz w:val="28"/>
          <w:szCs w:val="28"/>
        </w:rPr>
        <w:t>截止2020年11月30日，已完成污水处理厂及配套管网建设，</w:t>
      </w:r>
      <w:r>
        <w:rPr>
          <w:rFonts w:hint="eastAsia" w:ascii="宋体" w:hAnsi="宋体" w:eastAsia="宋体" w:cs="宋体"/>
          <w:color w:val="000000"/>
          <w:kern w:val="0"/>
          <w:sz w:val="28"/>
          <w:szCs w:val="28"/>
        </w:rPr>
        <w:t>并通水试运行。</w:t>
      </w:r>
      <w:r>
        <w:rPr>
          <w:rFonts w:hint="eastAsia" w:ascii="宋体" w:hAnsi="宋体" w:eastAsia="宋体" w:cs="宋体"/>
          <w:color w:val="000000"/>
          <w:kern w:val="0"/>
          <w:sz w:val="28"/>
          <w:szCs w:val="28"/>
          <w:lang w:val="en-US" w:eastAsia="zh-CN"/>
        </w:rPr>
        <w:t>2020年12</w:t>
      </w:r>
      <w:r>
        <w:rPr>
          <w:rFonts w:hint="eastAsia" w:ascii="宋体" w:hAnsi="宋体" w:eastAsia="宋体" w:cs="宋体"/>
          <w:sz w:val="28"/>
          <w:szCs w:val="28"/>
        </w:rPr>
        <w:t>月3日经检测排放污水已达到一级A排放标准。</w:t>
      </w:r>
    </w:p>
    <w:p>
      <w:pPr>
        <w:keepNext w:val="0"/>
        <w:keepLines w:val="0"/>
        <w:pageBreakBefore w:val="0"/>
        <w:widowControl/>
        <w:kinsoku/>
        <w:wordWrap/>
        <w:overflowPunct/>
        <w:topLinePunct w:val="0"/>
        <w:autoSpaceDE/>
        <w:bidi w:val="0"/>
        <w:adjustRightInd/>
        <w:snapToGrid/>
        <w:spacing w:line="520" w:lineRule="exact"/>
        <w:ind w:firstLine="562" w:firstLineChars="200"/>
        <w:jc w:val="left"/>
        <w:rPr>
          <w:rFonts w:hint="eastAsia" w:ascii="宋体" w:hAnsi="宋体" w:eastAsia="宋体" w:cs="宋体"/>
          <w:sz w:val="28"/>
          <w:szCs w:val="28"/>
        </w:rPr>
      </w:pPr>
      <w:r>
        <w:rPr>
          <w:rFonts w:hint="eastAsia" w:ascii="宋体" w:hAnsi="宋体" w:eastAsia="宋体" w:cs="宋体"/>
          <w:b/>
          <w:bCs/>
          <w:sz w:val="28"/>
          <w:szCs w:val="28"/>
          <w:lang w:val="en-US" w:eastAsia="zh-CN"/>
        </w:rPr>
        <w:t>（6）</w:t>
      </w:r>
      <w:r>
        <w:rPr>
          <w:rFonts w:hint="eastAsia" w:ascii="宋体" w:hAnsi="宋体" w:eastAsia="宋体" w:cs="宋体"/>
          <w:b/>
          <w:bCs/>
          <w:sz w:val="28"/>
          <w:szCs w:val="28"/>
        </w:rPr>
        <w:t>污水处理厂运行情况</w:t>
      </w:r>
      <w:r>
        <w:rPr>
          <w:rFonts w:hint="eastAsia" w:ascii="宋体" w:hAnsi="宋体" w:eastAsia="宋体" w:cs="宋体"/>
          <w:b/>
          <w:bCs/>
          <w:sz w:val="28"/>
          <w:szCs w:val="28"/>
          <w:lang w:eastAsia="zh-CN"/>
        </w:rPr>
        <w:t>。</w:t>
      </w:r>
      <w:r>
        <w:rPr>
          <w:rFonts w:hint="eastAsia" w:ascii="宋体" w:hAnsi="宋体" w:eastAsia="宋体" w:cs="宋体"/>
          <w:sz w:val="28"/>
          <w:szCs w:val="28"/>
        </w:rPr>
        <w:t>长岭污水处理厂自2020年12月1日开始进行试运行，经过公开招投标程序，由湖南</w:t>
      </w:r>
      <w:r>
        <w:rPr>
          <w:rFonts w:hint="eastAsia" w:ascii="宋体" w:hAnsi="宋体" w:eastAsia="宋体" w:cs="宋体"/>
          <w:sz w:val="28"/>
          <w:szCs w:val="28"/>
          <w:lang w:eastAsia="zh-CN"/>
        </w:rPr>
        <w:t>迈青</w:t>
      </w:r>
      <w:r>
        <w:rPr>
          <w:rFonts w:hint="eastAsia" w:ascii="宋体" w:hAnsi="宋体" w:eastAsia="宋体" w:cs="宋体"/>
          <w:sz w:val="28"/>
          <w:szCs w:val="28"/>
        </w:rPr>
        <w:t>环保科技股份有限公司</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以下简称“</w:t>
      </w:r>
      <w:r>
        <w:rPr>
          <w:rFonts w:hint="eastAsia" w:ascii="宋体" w:hAnsi="宋体" w:eastAsia="宋体" w:cs="宋体"/>
          <w:sz w:val="28"/>
          <w:szCs w:val="28"/>
          <w:lang w:eastAsia="zh-CN"/>
        </w:rPr>
        <w:t>迈青</w:t>
      </w:r>
      <w:r>
        <w:rPr>
          <w:rFonts w:hint="eastAsia" w:ascii="宋体" w:hAnsi="宋体" w:eastAsia="宋体" w:cs="宋体"/>
          <w:sz w:val="28"/>
          <w:szCs w:val="28"/>
        </w:rPr>
        <w:t>环保</w:t>
      </w:r>
      <w:r>
        <w:rPr>
          <w:rFonts w:hint="eastAsia" w:ascii="宋体" w:hAnsi="宋体" w:eastAsia="宋体" w:cs="宋体"/>
          <w:sz w:val="28"/>
          <w:szCs w:val="28"/>
          <w:lang w:val="en-US" w:eastAsia="zh-CN"/>
        </w:rPr>
        <w:t>公司”）</w:t>
      </w:r>
      <w:r>
        <w:rPr>
          <w:rFonts w:hint="eastAsia" w:ascii="宋体" w:hAnsi="宋体" w:eastAsia="宋体" w:cs="宋体"/>
          <w:sz w:val="28"/>
          <w:szCs w:val="28"/>
        </w:rPr>
        <w:t>中标</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同时进入项目</w:t>
      </w:r>
      <w:r>
        <w:rPr>
          <w:rFonts w:hint="eastAsia" w:ascii="宋体" w:hAnsi="宋体" w:eastAsia="宋体" w:cs="宋体"/>
          <w:sz w:val="28"/>
          <w:szCs w:val="28"/>
        </w:rPr>
        <w:t>运营</w:t>
      </w:r>
      <w:r>
        <w:rPr>
          <w:rFonts w:hint="eastAsia" w:ascii="宋体" w:hAnsi="宋体" w:eastAsia="宋体" w:cs="宋体"/>
          <w:sz w:val="28"/>
          <w:szCs w:val="28"/>
          <w:lang w:val="en-US" w:eastAsia="zh-CN"/>
        </w:rPr>
        <w:t>维护期</w:t>
      </w:r>
      <w:r>
        <w:rPr>
          <w:rFonts w:hint="eastAsia" w:ascii="宋体" w:hAnsi="宋体" w:eastAsia="宋体" w:cs="宋体"/>
          <w:sz w:val="28"/>
          <w:szCs w:val="28"/>
        </w:rPr>
        <w:t>，</w:t>
      </w:r>
      <w:r>
        <w:rPr>
          <w:rFonts w:hint="eastAsia" w:ascii="宋体" w:hAnsi="宋体" w:eastAsia="宋体" w:cs="宋体"/>
          <w:sz w:val="28"/>
          <w:szCs w:val="28"/>
          <w:lang w:eastAsia="zh-CN"/>
        </w:rPr>
        <w:t>迈青</w:t>
      </w:r>
      <w:r>
        <w:rPr>
          <w:rFonts w:hint="eastAsia" w:ascii="宋体" w:hAnsi="宋体" w:eastAsia="宋体" w:cs="宋体"/>
          <w:sz w:val="28"/>
          <w:szCs w:val="28"/>
        </w:rPr>
        <w:t>环保</w:t>
      </w:r>
      <w:r>
        <w:rPr>
          <w:rFonts w:hint="eastAsia" w:ascii="宋体" w:hAnsi="宋体" w:eastAsia="宋体" w:cs="宋体"/>
          <w:sz w:val="28"/>
          <w:szCs w:val="28"/>
          <w:lang w:val="en-US" w:eastAsia="zh-CN"/>
        </w:rPr>
        <w:t>公司</w:t>
      </w:r>
      <w:r>
        <w:rPr>
          <w:rFonts w:hint="eastAsia" w:ascii="宋体" w:hAnsi="宋体" w:eastAsia="宋体" w:cs="宋体"/>
          <w:sz w:val="28"/>
          <w:szCs w:val="28"/>
        </w:rPr>
        <w:t xml:space="preserve">成立了长岭污水处理厂运营项目专业团队，编制11人，负责安全运行的日常管理和设备维护，做到节能、降耗、增效，出水指标达到了一级A排放标准。 </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textAlignment w:val="center"/>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t xml:space="preserve"> </w:t>
      </w:r>
    </w:p>
    <w:p>
      <w:pPr>
        <w:keepNext w:val="0"/>
        <w:keepLines w:val="0"/>
        <w:pageBreakBefore w:val="0"/>
        <w:widowControl w:val="0"/>
        <w:numPr>
          <w:ilvl w:val="0"/>
          <w:numId w:val="4"/>
        </w:numPr>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项目资金情况</w:t>
      </w:r>
    </w:p>
    <w:p>
      <w:pPr>
        <w:pStyle w:val="1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firstLine="562" w:firstLineChars="200"/>
        <w:textAlignment w:val="auto"/>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1、资金基本性质及用途</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val="0"/>
          <w:bCs/>
          <w:sz w:val="28"/>
          <w:szCs w:val="28"/>
          <w:highlight w:val="none"/>
          <w:lang w:val="en-US" w:eastAsia="zh-CN"/>
        </w:rPr>
      </w:pPr>
      <w:r>
        <w:rPr>
          <w:rFonts w:hint="eastAsia" w:ascii="宋体" w:hAnsi="宋体" w:eastAsia="宋体" w:cs="宋体"/>
          <w:b/>
          <w:bCs w:val="0"/>
          <w:sz w:val="28"/>
          <w:szCs w:val="28"/>
          <w:highlight w:val="none"/>
          <w:lang w:val="en-US" w:eastAsia="zh-CN"/>
        </w:rPr>
        <w:t xml:space="preserve"> </w:t>
      </w:r>
      <w:r>
        <w:rPr>
          <w:rFonts w:hint="eastAsia" w:ascii="宋体" w:hAnsi="宋体" w:eastAsia="宋体" w:cs="宋体"/>
          <w:b w:val="0"/>
          <w:bCs/>
          <w:sz w:val="28"/>
          <w:szCs w:val="28"/>
          <w:highlight w:val="none"/>
          <w:lang w:val="en-US" w:eastAsia="zh-CN"/>
        </w:rPr>
        <w:t>项目总投资11155.13万元，其中资金部分为中3,000万元为地方政府专项债券资金3000万元，；晨宇公司自筹6405万元。项目资金使用用途及范围均为项目建设。</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2、预期收益及偿债资金来源</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根据湖南稼沛工程咨询有限公司出具的《岳阳市云溪区长岭污水处理厂建设项目预期收益与融资平衡方案》（以下简称“融资平衡方案”），项目营业收入估算总计为11,060.16万元，其中：污水处理收入6,860.16万元、财政补贴运营收入4,200万元（每年300万元）。项目偿债资金来源为污水处理收入及财政补贴运营收入。</w:t>
      </w:r>
    </w:p>
    <w:p>
      <w:pPr>
        <w:pStyle w:val="18"/>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520" w:lineRule="exact"/>
        <w:ind w:firstLine="562" w:firstLineChars="200"/>
        <w:textAlignment w:val="auto"/>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项目资金收支总体情况</w:t>
      </w:r>
    </w:p>
    <w:p>
      <w:pPr>
        <w:pStyle w:val="1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至2020年12月末，项目资金到帐9,395万元，晨宇公司帐面支出6,901</w:t>
      </w:r>
      <w:r>
        <w:rPr>
          <w:rFonts w:hint="eastAsia" w:ascii="宋体" w:hAnsi="宋体" w:eastAsia="宋体" w:cs="宋体"/>
          <w:b w:val="0"/>
          <w:bCs w:val="0"/>
          <w:sz w:val="28"/>
          <w:szCs w:val="28"/>
          <w:highlight w:val="none"/>
          <w:lang w:val="en-US" w:eastAsia="zh-CN"/>
        </w:rPr>
        <w:t>.13</w:t>
      </w:r>
      <w:r>
        <w:rPr>
          <w:rFonts w:hint="eastAsia" w:ascii="宋体" w:hAnsi="宋体" w:eastAsia="宋体" w:cs="宋体"/>
          <w:b w:val="0"/>
          <w:bCs/>
          <w:sz w:val="28"/>
          <w:szCs w:val="28"/>
          <w:highlight w:val="none"/>
          <w:lang w:val="en-US" w:eastAsia="zh-CN"/>
        </w:rPr>
        <w:t>万元，到帐资金结存2,493.87万元。至2021年8月末，项目累计支出支出8745.45万元,到帐资金结存649.55万元。另有应付未付合同款1639.95万元（未包含财评、决算、审计等费用）。</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4、资金来源及到帐情况</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项目建设资金来源于专项债券资金及区城建投公司对晨宇公司的投入。至2020年12月31日止，晨宇公司项目资金到帐9,395万元，占投资总额84.22%,其中：专项债券资金到帐3,000万元，到帐率100%；自筹资金到帐6,405万元,自筹资金到帐率78.54%。</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5、资金使用情况</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至2020年12月31日止，晨宇公司帐面支出6,901.13万元元；2021年支出1844.32万元。项目专项债券资金与自筹资金合并使用。2020年项目资金主要支付内容如下：</w:t>
      </w:r>
    </w:p>
    <w:p>
      <w:pPr>
        <w:keepNext w:val="0"/>
        <w:keepLines w:val="0"/>
        <w:pageBreakBefore w:val="0"/>
        <w:widowControl w:val="0"/>
        <w:numPr>
          <w:ilvl w:val="0"/>
          <w:numId w:val="6"/>
        </w:numPr>
        <w:kinsoku/>
        <w:wordWrap/>
        <w:overflowPunct/>
        <w:topLinePunct w:val="0"/>
        <w:autoSpaceDE/>
        <w:autoSpaceDN w:val="0"/>
        <w:bidi w:val="0"/>
        <w:adjustRightInd/>
        <w:snapToGrid/>
        <w:spacing w:line="520" w:lineRule="exact"/>
        <w:ind w:left="280" w:leftChars="0" w:firstLine="560" w:firstLineChars="0"/>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项目工程相关费用支出6,420.92万元</w:t>
      </w:r>
      <w:r>
        <w:rPr>
          <w:rFonts w:hint="eastAsia" w:ascii="宋体" w:hAnsi="宋体" w:eastAsia="宋体" w:cs="宋体"/>
          <w:b w:val="0"/>
          <w:bCs w:val="0"/>
          <w:sz w:val="28"/>
          <w:szCs w:val="28"/>
          <w:highlight w:val="none"/>
          <w:lang w:val="en-US" w:eastAsia="zh-CN"/>
        </w:rPr>
        <w:t>，主要支付项目施工图设计费120.92万元，项目建筑、安装、设备施工总承包合同进度款6,300万元。</w:t>
      </w:r>
    </w:p>
    <w:p>
      <w:pPr>
        <w:keepNext w:val="0"/>
        <w:keepLines w:val="0"/>
        <w:pageBreakBefore w:val="0"/>
        <w:widowControl w:val="0"/>
        <w:numPr>
          <w:ilvl w:val="0"/>
          <w:numId w:val="6"/>
        </w:numPr>
        <w:kinsoku/>
        <w:wordWrap/>
        <w:overflowPunct/>
        <w:topLinePunct w:val="0"/>
        <w:autoSpaceDE/>
        <w:autoSpaceDN w:val="0"/>
        <w:bidi w:val="0"/>
        <w:adjustRightInd/>
        <w:snapToGrid/>
        <w:spacing w:line="520" w:lineRule="exact"/>
        <w:ind w:left="280" w:leftChars="0" w:firstLine="560" w:firstLineChars="0"/>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待摊投资支出480.21万元</w:t>
      </w:r>
      <w:r>
        <w:rPr>
          <w:rFonts w:hint="eastAsia" w:ascii="宋体" w:hAnsi="宋体" w:eastAsia="宋体" w:cs="宋体"/>
          <w:b w:val="0"/>
          <w:bCs w:val="0"/>
          <w:sz w:val="28"/>
          <w:szCs w:val="28"/>
          <w:highlight w:val="none"/>
          <w:lang w:val="en-US" w:eastAsia="zh-CN"/>
        </w:rPr>
        <w:t>。</w:t>
      </w:r>
      <w:r>
        <w:rPr>
          <w:rFonts w:hint="eastAsia" w:ascii="宋体" w:hAnsi="宋体" w:eastAsia="宋体" w:cs="宋体"/>
          <w:b/>
          <w:bCs/>
          <w:sz w:val="28"/>
          <w:szCs w:val="28"/>
          <w:highlight w:val="none"/>
          <w:lang w:val="en-US" w:eastAsia="zh-CN"/>
        </w:rPr>
        <w:t>包括</w:t>
      </w:r>
      <w:r>
        <w:rPr>
          <w:rFonts w:hint="eastAsia" w:ascii="宋体" w:hAnsi="宋体" w:eastAsia="宋体" w:cs="宋体"/>
          <w:b w:val="0"/>
          <w:bCs w:val="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①项目勘察测量服务费22.65万元。主要支付核工业岳阳建设工程有限公司项目勘察测量服务费部分合同款。</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②可研及初步设计费56.45万元，主要支付中机国能炼化工程有限公司项目可研及初步设计部分合同款。</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③环境监测及排污口论证服务费8.98万元，主要支付岳阳市青枫环保技术服务有限公司环境监测合同款4.38万元、排污口论证服务费4.6万元。</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④编制服务费12.78万元，主要支付项目资金平衡方案编制合同款3万元、支付水土保持方案报告编制费合同款4.85万元、支付环境影响评价报告编制服务费4.93万元。</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⑤土地补偿款、借地协调包干款、管网改造收购费等352.38万元，主要支付路口镇政府道路、给水等基础设施补偿款67.7万元、易地建设费及水土保持补偿费5.91万元、晨宇环境综合治理有限公司与长岭街道办事处签订污水收集主管网项目征借地协调包干协议104.31万元、晨宇环境综合治理有限公司与路口镇政府签订污水收集主管网项目征借地协调包干协议166.51万元、森林植被恢复费7.95万元</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⑥电力安装费4.9万元，主要支付岳阳国泽劳务有限公司电力线路安装费。</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⑦评估费14.4万元，主要支付支付核工业岳阳建设工程有限公司地质灾害评估合同款1.8万元、支付岳阳荣佳工程咨询有限公司防洪影响评价服务合同款12.6万元</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⑧消防设施检测费0.8万元，支付湖南三维消防安全服务有限公司消防竣工检测合同款。</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⑨管理费用6.86万元，主要支付：</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差旅费支出1.4万元、餐费开支1.04万元（接待外单位用餐0.47万元、加班工作餐0.57万元）、业务用车租赁费2.4万元、其他费用0.34万元（购置安全帽、接待用茶叶）、工作人员现场津贴（2020年7月-9月共9人）1.68万元。</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具体明细见下表：</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textAlignment w:val="center"/>
        <w:rPr>
          <w:rFonts w:hint="eastAsia" w:ascii="宋体" w:hAnsi="宋体" w:eastAsia="宋体" w:cs="宋体"/>
          <w:b w:val="0"/>
          <w:bCs w:val="0"/>
          <w:sz w:val="28"/>
          <w:szCs w:val="28"/>
          <w:highlight w:val="none"/>
          <w:lang w:val="en-US" w:eastAsia="zh-CN"/>
        </w:rPr>
      </w:pPr>
    </w:p>
    <w:tbl>
      <w:tblPr>
        <w:tblStyle w:val="21"/>
        <w:tblW w:w="888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6"/>
        <w:gridCol w:w="377"/>
        <w:gridCol w:w="831"/>
        <w:gridCol w:w="2192"/>
        <w:gridCol w:w="1233"/>
        <w:gridCol w:w="3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8886" w:type="dxa"/>
            <w:gridSpan w:val="6"/>
            <w:tcBorders>
              <w:top w:val="nil"/>
              <w:left w:val="nil"/>
              <w:bottom w:val="nil"/>
              <w:right w:val="nil"/>
            </w:tcBorders>
            <w:noWrap/>
            <w:vAlign w:val="bottom"/>
          </w:tcPr>
          <w:p>
            <w:pPr>
              <w:keepNext w:val="0"/>
              <w:keepLines w:val="0"/>
              <w:widowControl/>
              <w:suppressLineNumbers w:val="0"/>
              <w:ind w:firstLine="1680" w:firstLineChars="700"/>
              <w:jc w:val="both"/>
              <w:textAlignment w:val="bottom"/>
              <w:rPr>
                <w:rFonts w:hint="default" w:ascii="宋体" w:hAnsi="宋体" w:eastAsia="宋体" w:cs="宋体"/>
                <w:b/>
                <w:bCs/>
                <w:i w:val="0"/>
                <w:iCs w:val="0"/>
                <w:color w:val="000000"/>
                <w:sz w:val="20"/>
                <w:szCs w:val="20"/>
                <w:u w:val="none"/>
                <w:lang w:val="en-US"/>
              </w:rPr>
            </w:pPr>
            <w:r>
              <w:rPr>
                <w:rFonts w:hint="eastAsia" w:ascii="宋体" w:hAnsi="宋体" w:eastAsia="宋体" w:cs="宋体"/>
                <w:b w:val="0"/>
                <w:bCs w:val="0"/>
                <w:i w:val="0"/>
                <w:iCs w:val="0"/>
                <w:color w:val="000000"/>
                <w:kern w:val="0"/>
                <w:sz w:val="24"/>
                <w:szCs w:val="24"/>
                <w:u w:val="none"/>
                <w:lang w:val="en-US" w:eastAsia="zh-CN" w:bidi="ar"/>
              </w:rPr>
              <w:t>项目建设支出费用情况表</w:t>
            </w:r>
            <w:r>
              <w:rPr>
                <w:rFonts w:hint="eastAsia" w:ascii="宋体" w:hAnsi="宋体" w:eastAsia="宋体" w:cs="宋体"/>
                <w:b w:val="0"/>
                <w:bCs w:val="0"/>
                <w:i w:val="0"/>
                <w:iCs w:val="0"/>
                <w:color w:val="000000"/>
                <w:kern w:val="0"/>
                <w:sz w:val="22"/>
                <w:szCs w:val="22"/>
                <w:u w:val="none"/>
                <w:lang w:val="en-US" w:eastAsia="zh-CN" w:bidi="ar"/>
              </w:rPr>
              <w:t>（至2020年12月末）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月</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凭证号</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摘要</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p>
        </w:tc>
        <w:tc>
          <w:tcPr>
            <w:tcW w:w="37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93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一、项目建筑、安装、设备支出</w:t>
            </w:r>
          </w:p>
        </w:tc>
        <w:tc>
          <w:tcPr>
            <w:tcW w:w="123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MS Sans Serif" w:cs="Times New Roman"/>
                <w:b/>
                <w:bCs/>
                <w:i w:val="0"/>
                <w:iCs w:val="0"/>
                <w:color w:val="000000"/>
                <w:sz w:val="16"/>
                <w:szCs w:val="16"/>
                <w:u w:val="none"/>
              </w:rPr>
            </w:pPr>
            <w:r>
              <w:rPr>
                <w:rFonts w:hint="default" w:ascii="Times New Roman" w:hAnsi="Times New Roman" w:eastAsia="MS Sans Serif" w:cs="Times New Roman"/>
                <w:b/>
                <w:bCs/>
                <w:i w:val="0"/>
                <w:iCs w:val="0"/>
                <w:color w:val="000000"/>
                <w:kern w:val="0"/>
                <w:sz w:val="16"/>
                <w:szCs w:val="16"/>
                <w:u w:val="none"/>
                <w:lang w:val="en-US" w:eastAsia="zh-CN" w:bidi="ar"/>
              </w:rPr>
              <w:t xml:space="preserve">64,209,200.00 </w:t>
            </w:r>
          </w:p>
        </w:tc>
        <w:tc>
          <w:tcPr>
            <w:tcW w:w="3717"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2020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08</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-0006</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项目施工图设计费</w:t>
            </w:r>
          </w:p>
        </w:tc>
        <w:tc>
          <w:tcPr>
            <w:tcW w:w="123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bottom"/>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 xml:space="preserve">1,209,200.00 </w:t>
            </w:r>
          </w:p>
        </w:tc>
        <w:tc>
          <w:tcPr>
            <w:tcW w:w="371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设计采购施工总承包，湖南和庆源建设工程有限公司牵头方、湖南博世科环保科技有限公司成员方。总施工合同进度款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2020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11</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-0009</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项目工程进度款</w:t>
            </w:r>
          </w:p>
        </w:tc>
        <w:tc>
          <w:tcPr>
            <w:tcW w:w="123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bottom"/>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 xml:space="preserve">22,000,000.00 </w:t>
            </w:r>
          </w:p>
        </w:tc>
        <w:tc>
          <w:tcPr>
            <w:tcW w:w="3717"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2020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06</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-0008</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项目工程进度款</w:t>
            </w:r>
          </w:p>
        </w:tc>
        <w:tc>
          <w:tcPr>
            <w:tcW w:w="123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bottom"/>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 xml:space="preserve">10,000,000.00 </w:t>
            </w:r>
          </w:p>
        </w:tc>
        <w:tc>
          <w:tcPr>
            <w:tcW w:w="3717"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2020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08</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-0005</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项目工程进度款</w:t>
            </w:r>
          </w:p>
        </w:tc>
        <w:tc>
          <w:tcPr>
            <w:tcW w:w="123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bottom"/>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 xml:space="preserve">10,000,000.00 </w:t>
            </w:r>
          </w:p>
        </w:tc>
        <w:tc>
          <w:tcPr>
            <w:tcW w:w="3717"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2020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09</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-0007</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项目工程进度款</w:t>
            </w:r>
          </w:p>
        </w:tc>
        <w:tc>
          <w:tcPr>
            <w:tcW w:w="123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bottom"/>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 xml:space="preserve">21,000,000.00 </w:t>
            </w:r>
          </w:p>
        </w:tc>
        <w:tc>
          <w:tcPr>
            <w:tcW w:w="371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93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二、待摊投资支出</w:t>
            </w:r>
          </w:p>
        </w:tc>
        <w:tc>
          <w:tcPr>
            <w:tcW w:w="123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bottom"/>
              <w:rPr>
                <w:rFonts w:hint="default" w:ascii="Times New Roman" w:hAnsi="Times New Roman" w:eastAsia="MS Sans Serif" w:cs="Times New Roman"/>
                <w:b/>
                <w:bCs/>
                <w:i w:val="0"/>
                <w:iCs w:val="0"/>
                <w:color w:val="000000"/>
                <w:sz w:val="16"/>
                <w:szCs w:val="16"/>
                <w:u w:val="none"/>
              </w:rPr>
            </w:pPr>
            <w:r>
              <w:rPr>
                <w:rFonts w:hint="default" w:ascii="Times New Roman" w:hAnsi="Times New Roman" w:eastAsia="MS Sans Serif" w:cs="Times New Roman"/>
                <w:b/>
                <w:bCs/>
                <w:i w:val="0"/>
                <w:iCs w:val="0"/>
                <w:color w:val="000000"/>
                <w:kern w:val="0"/>
                <w:sz w:val="16"/>
                <w:szCs w:val="16"/>
                <w:u w:val="none"/>
                <w:lang w:val="en-US" w:eastAsia="zh-CN" w:bidi="ar"/>
              </w:rPr>
              <w:t xml:space="preserve">4,802,073.32 </w:t>
            </w:r>
          </w:p>
        </w:tc>
        <w:tc>
          <w:tcPr>
            <w:tcW w:w="371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kinsoku/>
              <w:wordWrap/>
              <w:overflowPunct/>
              <w:topLinePunct w:val="0"/>
              <w:autoSpaceDE/>
              <w:bidi w:val="0"/>
              <w:adjustRightInd/>
              <w:snapToGrid/>
              <w:spacing w:line="20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93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（一）项目工程相关费用</w:t>
            </w:r>
          </w:p>
        </w:tc>
        <w:tc>
          <w:tcPr>
            <w:tcW w:w="123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bottom"/>
              <w:rPr>
                <w:rFonts w:hint="default" w:ascii="Times New Roman" w:hAnsi="Times New Roman" w:eastAsia="MS Sans Serif" w:cs="Times New Roman"/>
                <w:b/>
                <w:bCs/>
                <w:i w:val="0"/>
                <w:iCs w:val="0"/>
                <w:color w:val="000000"/>
                <w:sz w:val="16"/>
                <w:szCs w:val="16"/>
                <w:u w:val="none"/>
              </w:rPr>
            </w:pPr>
            <w:r>
              <w:rPr>
                <w:rFonts w:hint="default" w:ascii="Times New Roman" w:hAnsi="Times New Roman" w:eastAsia="MS Sans Serif" w:cs="Times New Roman"/>
                <w:b/>
                <w:bCs/>
                <w:i w:val="0"/>
                <w:iCs w:val="0"/>
                <w:color w:val="000000"/>
                <w:kern w:val="0"/>
                <w:sz w:val="16"/>
                <w:szCs w:val="16"/>
                <w:u w:val="none"/>
                <w:lang w:val="en-US" w:eastAsia="zh-CN" w:bidi="ar"/>
              </w:rPr>
              <w:t xml:space="preserve">4,733,468.32 </w:t>
            </w:r>
          </w:p>
        </w:tc>
        <w:tc>
          <w:tcPr>
            <w:tcW w:w="371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kinsoku/>
              <w:wordWrap/>
              <w:overflowPunct/>
              <w:topLinePunct w:val="0"/>
              <w:autoSpaceDE/>
              <w:bidi w:val="0"/>
              <w:adjustRightInd/>
              <w:snapToGrid/>
              <w:spacing w:line="20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2020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02</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-0004</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项目勘察测量服务费</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 xml:space="preserve">226,500.00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支付核工业岳阳建设工程有限公司项目勘察测量服务费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2020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02</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-0005</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可研及初步设计费</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 xml:space="preserve">219,461.02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支付中机国能炼化工程有限公司项目可研及初步设计费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2020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12</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-0006</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可研及初步设计费</w:t>
            </w:r>
          </w:p>
        </w:tc>
        <w:tc>
          <w:tcPr>
            <w:tcW w:w="123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bottom"/>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 xml:space="preserve">345,064.50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center"/>
              <w:rPr>
                <w:rFonts w:hint="default" w:ascii="Times New Roman" w:hAnsi="Times New Roman" w:eastAsia="MS Sans Serif" w:cs="Times New Roman"/>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center"/>
              <w:rPr>
                <w:rFonts w:hint="default" w:ascii="Times New Roman" w:hAnsi="Times New Roman" w:eastAsia="MS Sans Serif" w:cs="Times New Roman"/>
                <w:i w:val="0"/>
                <w:iCs w:val="0"/>
                <w:color w:val="000000"/>
                <w:sz w:val="16"/>
                <w:szCs w:val="16"/>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center"/>
              <w:rPr>
                <w:rFonts w:hint="default" w:ascii="Times New Roman" w:hAnsi="Times New Roman" w:eastAsia="MS Sans Serif" w:cs="Times New Roman"/>
                <w:i w:val="0"/>
                <w:iCs w:val="0"/>
                <w:color w:val="000000"/>
                <w:sz w:val="16"/>
                <w:szCs w:val="16"/>
                <w:u w:val="none"/>
              </w:rPr>
            </w:pP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小计</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b/>
                <w:bCs/>
                <w:i w:val="0"/>
                <w:iCs w:val="0"/>
                <w:color w:val="000000"/>
                <w:sz w:val="16"/>
                <w:szCs w:val="16"/>
                <w:u w:val="none"/>
              </w:rPr>
            </w:pPr>
            <w:r>
              <w:rPr>
                <w:rFonts w:hint="default" w:ascii="Times New Roman" w:hAnsi="Times New Roman" w:eastAsia="MS Sans Serif" w:cs="Times New Roman"/>
                <w:b/>
                <w:bCs/>
                <w:i w:val="0"/>
                <w:iCs w:val="0"/>
                <w:color w:val="000000"/>
                <w:kern w:val="0"/>
                <w:sz w:val="16"/>
                <w:szCs w:val="16"/>
                <w:u w:val="none"/>
                <w:lang w:val="en-US" w:eastAsia="zh-CN" w:bidi="ar"/>
              </w:rPr>
              <w:t xml:space="preserve">791,025.52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left"/>
              <w:rPr>
                <w:rFonts w:hint="default" w:ascii="Times New Roman" w:hAnsi="Times New Roman" w:eastAsia="MS Sans Serif"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2020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02</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-0002</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环境监测费</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 xml:space="preserve">43,800.00 </w:t>
            </w:r>
          </w:p>
        </w:tc>
        <w:tc>
          <w:tcPr>
            <w:tcW w:w="37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支付岳阳市青枫环保技术服务有限公司合同款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2020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02</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-0003</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排污口论证服务费</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 xml:space="preserve">46,000.00 </w:t>
            </w:r>
          </w:p>
        </w:tc>
        <w:tc>
          <w:tcPr>
            <w:tcW w:w="37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center"/>
              <w:rPr>
                <w:rFonts w:hint="default" w:ascii="Times New Roman" w:hAnsi="Times New Roman" w:eastAsia="MS Sans Serif" w:cs="Times New Roman"/>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center"/>
              <w:rPr>
                <w:rFonts w:hint="default" w:ascii="Times New Roman" w:hAnsi="Times New Roman" w:eastAsia="MS Sans Serif" w:cs="Times New Roman"/>
                <w:i w:val="0"/>
                <w:iCs w:val="0"/>
                <w:color w:val="000000"/>
                <w:sz w:val="16"/>
                <w:szCs w:val="16"/>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center"/>
              <w:rPr>
                <w:rFonts w:hint="default" w:ascii="Times New Roman" w:hAnsi="Times New Roman" w:eastAsia="MS Sans Serif" w:cs="Times New Roman"/>
                <w:i w:val="0"/>
                <w:iCs w:val="0"/>
                <w:color w:val="000000"/>
                <w:sz w:val="16"/>
                <w:szCs w:val="16"/>
                <w:u w:val="none"/>
              </w:rPr>
            </w:pP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小计</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b/>
                <w:bCs/>
                <w:i w:val="0"/>
                <w:iCs w:val="0"/>
                <w:color w:val="000000"/>
                <w:sz w:val="16"/>
                <w:szCs w:val="16"/>
                <w:u w:val="none"/>
              </w:rPr>
            </w:pPr>
            <w:r>
              <w:rPr>
                <w:rFonts w:hint="default" w:ascii="Times New Roman" w:hAnsi="Times New Roman" w:eastAsia="MS Sans Serif" w:cs="Times New Roman"/>
                <w:b/>
                <w:bCs/>
                <w:i w:val="0"/>
                <w:iCs w:val="0"/>
                <w:color w:val="000000"/>
                <w:kern w:val="0"/>
                <w:sz w:val="16"/>
                <w:szCs w:val="16"/>
                <w:u w:val="none"/>
                <w:lang w:val="en-US" w:eastAsia="zh-CN" w:bidi="ar"/>
              </w:rPr>
              <w:t xml:space="preserve">89,800.00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left"/>
              <w:rPr>
                <w:rFonts w:hint="default" w:ascii="Times New Roman" w:hAnsi="Times New Roman" w:eastAsia="MS Sans Serif"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2020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12</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-0008</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资金平衡方案编制费</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 xml:space="preserve">30,000.00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支付湖南稼沛工程咨询有限公司岳阳分公司项目资金平衡方案编制合同款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2020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04</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-0003</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水土保持方案报告编制费</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 xml:space="preserve">48,500.00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支付岳阳绿源水土保持生态技术技术咨询有限公司合同款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2020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04</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-0004</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环境影响评价报告编制服务费</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 xml:space="preserve">49,300.00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支付岳阳青枫环保技术服务有限公司合同款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center"/>
              <w:rPr>
                <w:rFonts w:hint="default" w:ascii="Times New Roman" w:hAnsi="Times New Roman" w:eastAsia="MS Sans Serif" w:cs="Times New Roman"/>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center"/>
              <w:rPr>
                <w:rFonts w:hint="default" w:ascii="Times New Roman" w:hAnsi="Times New Roman" w:eastAsia="MS Sans Serif" w:cs="Times New Roman"/>
                <w:i w:val="0"/>
                <w:iCs w:val="0"/>
                <w:color w:val="000000"/>
                <w:sz w:val="16"/>
                <w:szCs w:val="16"/>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center"/>
              <w:rPr>
                <w:rFonts w:hint="default" w:ascii="Times New Roman" w:hAnsi="Times New Roman" w:eastAsia="MS Sans Serif" w:cs="Times New Roman"/>
                <w:i w:val="0"/>
                <w:iCs w:val="0"/>
                <w:color w:val="000000"/>
                <w:sz w:val="16"/>
                <w:szCs w:val="16"/>
                <w:u w:val="none"/>
              </w:rPr>
            </w:pP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小计</w:t>
            </w:r>
          </w:p>
        </w:tc>
        <w:tc>
          <w:tcPr>
            <w:tcW w:w="123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bottom"/>
              <w:rPr>
                <w:rFonts w:hint="default" w:ascii="Times New Roman" w:hAnsi="Times New Roman" w:eastAsia="MS Sans Serif" w:cs="Times New Roman"/>
                <w:b/>
                <w:bCs/>
                <w:i w:val="0"/>
                <w:iCs w:val="0"/>
                <w:color w:val="000000"/>
                <w:sz w:val="16"/>
                <w:szCs w:val="16"/>
                <w:u w:val="none"/>
              </w:rPr>
            </w:pPr>
            <w:r>
              <w:rPr>
                <w:rFonts w:hint="default" w:ascii="Times New Roman" w:hAnsi="Times New Roman" w:eastAsia="MS Sans Serif" w:cs="Times New Roman"/>
                <w:b/>
                <w:bCs/>
                <w:i w:val="0"/>
                <w:iCs w:val="0"/>
                <w:color w:val="000000"/>
                <w:kern w:val="0"/>
                <w:sz w:val="16"/>
                <w:szCs w:val="16"/>
                <w:u w:val="none"/>
                <w:lang w:val="en-US" w:eastAsia="zh-CN" w:bidi="ar"/>
              </w:rPr>
              <w:t xml:space="preserve">127,800.00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left"/>
              <w:rPr>
                <w:rFonts w:hint="default" w:ascii="Times New Roman" w:hAnsi="Times New Roman" w:eastAsia="MS Sans Serif"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2020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12</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-0005</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森林植被恢复费</w:t>
            </w:r>
          </w:p>
        </w:tc>
        <w:tc>
          <w:tcPr>
            <w:tcW w:w="123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bottom"/>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 xml:space="preserve">79,546.00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省级征收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2020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04</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-0005</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基础设施补偿款</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 xml:space="preserve">676,975.00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支付路口镇政府道路、给水等基础设施补偿款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2020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06</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-0006</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易地建设费及水土保持补偿费</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 xml:space="preserve">59,136.80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易地建设费</w:t>
            </w:r>
            <w:r>
              <w:rPr>
                <w:rFonts w:hint="default" w:ascii="Times New Roman" w:hAnsi="Times New Roman" w:eastAsia="宋体" w:cs="Times New Roman"/>
                <w:i w:val="0"/>
                <w:iCs w:val="0"/>
                <w:color w:val="000000"/>
                <w:kern w:val="0"/>
                <w:sz w:val="16"/>
                <w:szCs w:val="16"/>
                <w:u w:val="none"/>
                <w:lang w:val="en-US" w:eastAsia="zh-CN" w:bidi="ar"/>
              </w:rPr>
              <w:t>25036.8</w:t>
            </w:r>
            <w:r>
              <w:rPr>
                <w:rFonts w:hint="eastAsia" w:ascii="宋体" w:hAnsi="宋体" w:eastAsia="宋体" w:cs="宋体"/>
                <w:i w:val="0"/>
                <w:iCs w:val="0"/>
                <w:color w:val="000000"/>
                <w:kern w:val="0"/>
                <w:sz w:val="16"/>
                <w:szCs w:val="16"/>
                <w:u w:val="none"/>
                <w:lang w:val="en-US" w:eastAsia="zh-CN" w:bidi="ar"/>
              </w:rPr>
              <w:t>元、水土保持补偿费</w:t>
            </w:r>
            <w:r>
              <w:rPr>
                <w:rFonts w:hint="default" w:ascii="Times New Roman" w:hAnsi="Times New Roman" w:eastAsia="宋体" w:cs="Times New Roman"/>
                <w:i w:val="0"/>
                <w:iCs w:val="0"/>
                <w:color w:val="000000"/>
                <w:kern w:val="0"/>
                <w:sz w:val="16"/>
                <w:szCs w:val="16"/>
                <w:u w:val="none"/>
                <w:lang w:val="en-US" w:eastAsia="zh-CN" w:bidi="ar"/>
              </w:rPr>
              <w:t>34100</w:t>
            </w:r>
            <w:r>
              <w:rPr>
                <w:rFonts w:hint="eastAsia" w:ascii="宋体" w:hAnsi="宋体" w:eastAsia="宋体" w:cs="宋体"/>
                <w:i w:val="0"/>
                <w:iCs w:val="0"/>
                <w:color w:val="000000"/>
                <w:kern w:val="0"/>
                <w:sz w:val="16"/>
                <w:szCs w:val="16"/>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2020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-0004</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项目长接办借地协调包干费</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 xml:space="preserve">1,043,135.00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晨宇环境综合治理有限公司与长岭街道办事处签订污水收集主管网项目征借地协调包干协议，补偿涉及长岭村、文桥社区、望城村，线路全长约9700米。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2020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-0005</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项目路口镇借地协调包干款</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 xml:space="preserve">1,665,050.00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晨宇环境综合治理有限公司与路口镇政府签订污水收集主管网项目征借地协调包干协议，补偿涉及路口铺社区居委会、路口村、南山村及南岳村DN300主管征借地面积82.418亩。DN800主管征借地面积23.265亩DN600尾水管征借地面积6.885亩等。协调费用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center"/>
              <w:rPr>
                <w:rFonts w:hint="default" w:ascii="Times New Roman" w:hAnsi="Times New Roman" w:eastAsia="MS Sans Serif" w:cs="Times New Roman"/>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center"/>
              <w:rPr>
                <w:rFonts w:hint="default" w:ascii="Times New Roman" w:hAnsi="Times New Roman" w:eastAsia="MS Sans Serif" w:cs="Times New Roman"/>
                <w:i w:val="0"/>
                <w:iCs w:val="0"/>
                <w:color w:val="000000"/>
                <w:sz w:val="16"/>
                <w:szCs w:val="16"/>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center"/>
              <w:rPr>
                <w:rFonts w:hint="default" w:ascii="Times New Roman" w:hAnsi="Times New Roman" w:eastAsia="MS Sans Serif" w:cs="Times New Roman"/>
                <w:i w:val="0"/>
                <w:iCs w:val="0"/>
                <w:color w:val="000000"/>
                <w:sz w:val="16"/>
                <w:szCs w:val="16"/>
                <w:u w:val="none"/>
              </w:rPr>
            </w:pP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小计</w:t>
            </w:r>
          </w:p>
        </w:tc>
        <w:tc>
          <w:tcPr>
            <w:tcW w:w="123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bottom"/>
              <w:rPr>
                <w:rFonts w:hint="default" w:ascii="Times New Roman" w:hAnsi="Times New Roman" w:eastAsia="MS Sans Serif" w:cs="Times New Roman"/>
                <w:b/>
                <w:bCs/>
                <w:i w:val="0"/>
                <w:iCs w:val="0"/>
                <w:color w:val="000000"/>
                <w:sz w:val="16"/>
                <w:szCs w:val="16"/>
                <w:u w:val="none"/>
              </w:rPr>
            </w:pPr>
            <w:r>
              <w:rPr>
                <w:rFonts w:hint="default" w:ascii="Times New Roman" w:hAnsi="Times New Roman" w:eastAsia="MS Sans Serif" w:cs="Times New Roman"/>
                <w:b/>
                <w:bCs/>
                <w:i w:val="0"/>
                <w:iCs w:val="0"/>
                <w:color w:val="000000"/>
                <w:kern w:val="0"/>
                <w:sz w:val="16"/>
                <w:szCs w:val="16"/>
                <w:u w:val="none"/>
                <w:lang w:val="en-US" w:eastAsia="zh-CN" w:bidi="ar"/>
              </w:rPr>
              <w:t xml:space="preserve">3,523,842.80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left"/>
              <w:rPr>
                <w:rFonts w:hint="default" w:ascii="Times New Roman" w:hAnsi="Times New Roman" w:eastAsia="MS Sans Serif"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2020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12</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-0004</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电力线路安装费</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 xml:space="preserve">49,000.00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支付岳阳国泽劳务有限公司电力线路安装费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center"/>
              <w:rPr>
                <w:rFonts w:hint="default" w:ascii="Times New Roman" w:hAnsi="Times New Roman" w:eastAsia="MS Sans Serif" w:cs="Times New Roman"/>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center"/>
              <w:rPr>
                <w:rFonts w:hint="default" w:ascii="Times New Roman" w:hAnsi="Times New Roman" w:eastAsia="MS Sans Serif" w:cs="Times New Roman"/>
                <w:i w:val="0"/>
                <w:iCs w:val="0"/>
                <w:color w:val="000000"/>
                <w:sz w:val="16"/>
                <w:szCs w:val="16"/>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center"/>
              <w:rPr>
                <w:rFonts w:hint="default" w:ascii="Times New Roman" w:hAnsi="Times New Roman" w:eastAsia="MS Sans Serif" w:cs="Times New Roman"/>
                <w:i w:val="0"/>
                <w:iCs w:val="0"/>
                <w:color w:val="000000"/>
                <w:sz w:val="16"/>
                <w:szCs w:val="16"/>
                <w:u w:val="none"/>
              </w:rPr>
            </w:pP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小计</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b/>
                <w:bCs/>
                <w:i w:val="0"/>
                <w:iCs w:val="0"/>
                <w:color w:val="000000"/>
                <w:sz w:val="16"/>
                <w:szCs w:val="16"/>
                <w:u w:val="none"/>
              </w:rPr>
            </w:pPr>
            <w:r>
              <w:rPr>
                <w:rFonts w:hint="default" w:ascii="Times New Roman" w:hAnsi="Times New Roman" w:eastAsia="MS Sans Serif" w:cs="Times New Roman"/>
                <w:b/>
                <w:bCs/>
                <w:i w:val="0"/>
                <w:iCs w:val="0"/>
                <w:color w:val="000000"/>
                <w:kern w:val="0"/>
                <w:sz w:val="16"/>
                <w:szCs w:val="16"/>
                <w:u w:val="none"/>
                <w:lang w:val="en-US" w:eastAsia="zh-CN" w:bidi="ar"/>
              </w:rPr>
              <w:t xml:space="preserve">49,000.00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left"/>
              <w:rPr>
                <w:rFonts w:hint="default" w:ascii="Times New Roman" w:hAnsi="Times New Roman" w:eastAsia="MS Sans Serif"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2020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06</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-0003</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项目地质灾害评估费</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 xml:space="preserve">18,000.00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支付核工业岳阳建设工程有限公司地质灾害评估合同款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2020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-0003</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项目防洪影响评价服务费</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 xml:space="preserve">126,000.00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支付岳阳荣佳工程咨询有限公司防洪影响评价服务合同款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2020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12</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-0007</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项目消防设施检测费</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 xml:space="preserve">8,000.00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支付湖南三维消防安全服务有限公司消防竣工检测合同款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center"/>
              <w:rPr>
                <w:rFonts w:hint="default" w:ascii="Times New Roman" w:hAnsi="Times New Roman" w:eastAsia="MS Sans Serif" w:cs="Times New Roman"/>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center"/>
              <w:rPr>
                <w:rFonts w:hint="default" w:ascii="Times New Roman" w:hAnsi="Times New Roman" w:eastAsia="MS Sans Serif" w:cs="Times New Roman"/>
                <w:i w:val="0"/>
                <w:iCs w:val="0"/>
                <w:color w:val="000000"/>
                <w:sz w:val="16"/>
                <w:szCs w:val="16"/>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center"/>
              <w:rPr>
                <w:rFonts w:hint="default" w:ascii="Times New Roman" w:hAnsi="Times New Roman" w:eastAsia="MS Sans Serif" w:cs="Times New Roman"/>
                <w:i w:val="0"/>
                <w:iCs w:val="0"/>
                <w:color w:val="000000"/>
                <w:sz w:val="16"/>
                <w:szCs w:val="16"/>
                <w:u w:val="none"/>
              </w:rPr>
            </w:pP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小计</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b/>
                <w:bCs/>
                <w:i w:val="0"/>
                <w:iCs w:val="0"/>
                <w:color w:val="000000"/>
                <w:sz w:val="16"/>
                <w:szCs w:val="16"/>
                <w:u w:val="none"/>
              </w:rPr>
            </w:pPr>
            <w:r>
              <w:rPr>
                <w:rFonts w:hint="default" w:ascii="Times New Roman" w:hAnsi="Times New Roman" w:eastAsia="MS Sans Serif" w:cs="Times New Roman"/>
                <w:b/>
                <w:bCs/>
                <w:i w:val="0"/>
                <w:iCs w:val="0"/>
                <w:color w:val="000000"/>
                <w:kern w:val="0"/>
                <w:sz w:val="16"/>
                <w:szCs w:val="16"/>
                <w:u w:val="none"/>
                <w:lang w:val="en-US" w:eastAsia="zh-CN" w:bidi="ar"/>
              </w:rPr>
              <w:t xml:space="preserve">152,000.00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left"/>
              <w:rPr>
                <w:rFonts w:hint="default" w:ascii="Times New Roman" w:hAnsi="Times New Roman" w:eastAsia="MS Sans Serif"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744" w:type="dxa"/>
            <w:gridSpan w:val="3"/>
            <w:tcBorders>
              <w:top w:val="single" w:color="000000" w:sz="4" w:space="0"/>
              <w:left w:val="single" w:color="000000" w:sz="4" w:space="0"/>
              <w:bottom w:val="single" w:color="000000" w:sz="4" w:space="0"/>
              <w:right w:val="single" w:color="000000" w:sz="4" w:space="0"/>
            </w:tcBorders>
            <w:shd w:val="clear" w:color="auto" w:fill="B4C6E7"/>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2、管理费用</w:t>
            </w:r>
          </w:p>
        </w:tc>
        <w:tc>
          <w:tcPr>
            <w:tcW w:w="2192" w:type="dxa"/>
            <w:tcBorders>
              <w:top w:val="single" w:color="000000" w:sz="4" w:space="0"/>
              <w:left w:val="single" w:color="000000" w:sz="4" w:space="0"/>
              <w:bottom w:val="single" w:color="000000" w:sz="4" w:space="0"/>
              <w:right w:val="single" w:color="000000" w:sz="4" w:space="0"/>
            </w:tcBorders>
            <w:shd w:val="clear" w:color="auto" w:fill="B4C6E7"/>
            <w:noWrap w:val="0"/>
            <w:vAlign w:val="center"/>
          </w:tcPr>
          <w:p>
            <w:pPr>
              <w:keepNext w:val="0"/>
              <w:keepLines w:val="0"/>
              <w:pageBreakBefore w:val="0"/>
              <w:kinsoku/>
              <w:wordWrap/>
              <w:overflowPunct/>
              <w:topLinePunct w:val="0"/>
              <w:autoSpaceDE/>
              <w:bidi w:val="0"/>
              <w:adjustRightInd/>
              <w:snapToGrid/>
              <w:spacing w:line="200" w:lineRule="exact"/>
              <w:rPr>
                <w:rFonts w:hint="default" w:ascii="Times New Roman" w:hAnsi="Times New Roman" w:eastAsia="MS Sans Serif" w:cs="Times New Roman"/>
                <w:b/>
                <w:bCs/>
                <w:i w:val="0"/>
                <w:iCs w:val="0"/>
                <w:color w:val="000000"/>
                <w:sz w:val="16"/>
                <w:szCs w:val="16"/>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B4C6E7"/>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b/>
                <w:bCs/>
                <w:i w:val="0"/>
                <w:iCs w:val="0"/>
                <w:color w:val="000000"/>
                <w:sz w:val="16"/>
                <w:szCs w:val="16"/>
                <w:u w:val="none"/>
              </w:rPr>
            </w:pPr>
            <w:r>
              <w:rPr>
                <w:rFonts w:hint="default" w:ascii="Times New Roman" w:hAnsi="Times New Roman" w:eastAsia="MS Sans Serif" w:cs="Times New Roman"/>
                <w:b/>
                <w:bCs/>
                <w:i w:val="0"/>
                <w:iCs w:val="0"/>
                <w:color w:val="000000"/>
                <w:kern w:val="0"/>
                <w:sz w:val="16"/>
                <w:szCs w:val="16"/>
                <w:u w:val="none"/>
                <w:lang w:val="en-US" w:eastAsia="zh-CN" w:bidi="ar"/>
              </w:rPr>
              <w:t xml:space="preserve">68,605.00 </w:t>
            </w:r>
          </w:p>
        </w:tc>
        <w:tc>
          <w:tcPr>
            <w:tcW w:w="3717" w:type="dxa"/>
            <w:tcBorders>
              <w:top w:val="single" w:color="000000" w:sz="4" w:space="0"/>
              <w:left w:val="single" w:color="000000" w:sz="4" w:space="0"/>
              <w:bottom w:val="single" w:color="000000" w:sz="4" w:space="0"/>
              <w:right w:val="single" w:color="000000" w:sz="4" w:space="0"/>
            </w:tcBorders>
            <w:shd w:val="clear" w:color="auto" w:fill="B4C6E7"/>
            <w:noWrap w:val="0"/>
            <w:vAlign w:val="center"/>
          </w:tcPr>
          <w:p>
            <w:pPr>
              <w:keepNext w:val="0"/>
              <w:keepLines w:val="0"/>
              <w:pageBreakBefore w:val="0"/>
              <w:kinsoku/>
              <w:wordWrap/>
              <w:overflowPunct/>
              <w:topLinePunct w:val="0"/>
              <w:autoSpaceDE/>
              <w:bidi w:val="0"/>
              <w:adjustRightInd/>
              <w:snapToGrid/>
              <w:spacing w:line="200" w:lineRule="exact"/>
              <w:jc w:val="left"/>
              <w:rPr>
                <w:rFonts w:hint="default" w:ascii="Times New Roman" w:hAnsi="Times New Roman" w:eastAsia="MS Sans Serif"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2020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05</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-0004</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支付项目学习考察差旅费</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 xml:space="preserve">12,718.00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出差岳阳、南昌、浙江等地差旅费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2020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07</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-0001</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差旅费</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 xml:space="preserve">540.00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出差岳阳</w:t>
            </w:r>
            <w:r>
              <w:rPr>
                <w:rFonts w:hint="default" w:ascii="Times New Roman" w:hAnsi="Times New Roman" w:eastAsia="宋体" w:cs="Times New Roman"/>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2020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-0002</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差旅费</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 xml:space="preserve">732.00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出差长沙办理相关手续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center"/>
              <w:rPr>
                <w:rFonts w:hint="default" w:ascii="Times New Roman" w:hAnsi="Times New Roman" w:eastAsia="MS Sans Serif" w:cs="Times New Roman"/>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center"/>
              <w:rPr>
                <w:rFonts w:hint="default" w:ascii="Times New Roman" w:hAnsi="Times New Roman" w:eastAsia="MS Sans Serif" w:cs="Times New Roman"/>
                <w:i w:val="0"/>
                <w:iCs w:val="0"/>
                <w:color w:val="000000"/>
                <w:sz w:val="16"/>
                <w:szCs w:val="16"/>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center"/>
              <w:rPr>
                <w:rFonts w:hint="default" w:ascii="Times New Roman" w:hAnsi="Times New Roman" w:eastAsia="MS Sans Serif" w:cs="Times New Roman"/>
                <w:i w:val="0"/>
                <w:iCs w:val="0"/>
                <w:color w:val="000000"/>
                <w:sz w:val="16"/>
                <w:szCs w:val="16"/>
                <w:u w:val="none"/>
              </w:rPr>
            </w:pP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小计</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b/>
                <w:bCs/>
                <w:i w:val="0"/>
                <w:iCs w:val="0"/>
                <w:color w:val="000000"/>
                <w:sz w:val="16"/>
                <w:szCs w:val="16"/>
                <w:u w:val="none"/>
              </w:rPr>
            </w:pPr>
            <w:r>
              <w:rPr>
                <w:rFonts w:hint="default" w:ascii="Times New Roman" w:hAnsi="Times New Roman" w:eastAsia="MS Sans Serif" w:cs="Times New Roman"/>
                <w:b/>
                <w:bCs/>
                <w:i w:val="0"/>
                <w:iCs w:val="0"/>
                <w:color w:val="000000"/>
                <w:kern w:val="0"/>
                <w:sz w:val="16"/>
                <w:szCs w:val="16"/>
                <w:u w:val="none"/>
                <w:lang w:val="en-US" w:eastAsia="zh-CN" w:bidi="ar"/>
              </w:rPr>
              <w:t xml:space="preserve">13,990.00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left"/>
              <w:rPr>
                <w:rFonts w:hint="default" w:ascii="Times New Roman" w:hAnsi="Times New Roman" w:eastAsia="MS Sans Serif"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2020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11</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-0004</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接待用餐</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 xml:space="preserve">1,120.00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招待广西博世科环保科技股份有限公司餐费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2020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11</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-0007</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接待用餐开支</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 xml:space="preserve">992.00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招待核工业岳阳建设工程有限公司餐费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2020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05</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-0005</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推进会招待用餐</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 xml:space="preserve">466.00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招待湖南博世环保科技有限公司餐费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2020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05</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-0006</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融资洽谈招待用餐</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 xml:space="preserve">840.00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招待岳阳中金万瑞工程咨询有限公司餐费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2020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11</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-0002</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业务招待费</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 xml:space="preserve">1,280.00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招待西博世科保科技有限公司餐费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center"/>
              <w:rPr>
                <w:rFonts w:hint="default" w:ascii="Times New Roman" w:hAnsi="Times New Roman" w:eastAsia="MS Sans Serif" w:cs="Times New Roman"/>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center"/>
              <w:rPr>
                <w:rFonts w:hint="default" w:ascii="Times New Roman" w:hAnsi="Times New Roman" w:eastAsia="MS Sans Serif" w:cs="Times New Roman"/>
                <w:i w:val="0"/>
                <w:iCs w:val="0"/>
                <w:color w:val="000000"/>
                <w:sz w:val="16"/>
                <w:szCs w:val="16"/>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center"/>
              <w:rPr>
                <w:rFonts w:hint="eastAsia" w:ascii="宋体" w:hAnsi="宋体" w:eastAsia="宋体" w:cs="宋体"/>
                <w:i w:val="0"/>
                <w:iCs w:val="0"/>
                <w:color w:val="000000"/>
                <w:sz w:val="16"/>
                <w:szCs w:val="16"/>
                <w:u w:val="none"/>
              </w:rPr>
            </w:pP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小计</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b/>
                <w:bCs/>
                <w:i w:val="0"/>
                <w:iCs w:val="0"/>
                <w:color w:val="000000"/>
                <w:sz w:val="16"/>
                <w:szCs w:val="16"/>
                <w:u w:val="none"/>
              </w:rPr>
            </w:pPr>
            <w:r>
              <w:rPr>
                <w:rFonts w:hint="default" w:ascii="Times New Roman" w:hAnsi="Times New Roman" w:eastAsia="MS Sans Serif" w:cs="Times New Roman"/>
                <w:b/>
                <w:bCs/>
                <w:i w:val="0"/>
                <w:iCs w:val="0"/>
                <w:color w:val="000000"/>
                <w:kern w:val="0"/>
                <w:sz w:val="16"/>
                <w:szCs w:val="16"/>
                <w:u w:val="none"/>
                <w:lang w:val="en-US" w:eastAsia="zh-CN" w:bidi="ar"/>
              </w:rPr>
              <w:t xml:space="preserve">4,698.00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2020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09</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-0005</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工作餐</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 xml:space="preserve">2,910.00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加班工作餐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2020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11</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-0004</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加班用餐开支</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 xml:space="preserve">1,550.00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加班工作餐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2020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11</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-0005</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加班用餐费</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 xml:space="preserve">1,217.00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加班工作餐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topLinePunct w:val="0"/>
              <w:autoSpaceDE/>
              <w:bidi w:val="0"/>
              <w:adjustRightInd/>
              <w:snapToGrid/>
              <w:spacing w:line="200" w:lineRule="exact"/>
              <w:rPr>
                <w:rFonts w:hint="default" w:ascii="Times New Roman" w:hAnsi="Times New Roman" w:eastAsia="MS Sans Serif" w:cs="Times New Roman"/>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topLinePunct w:val="0"/>
              <w:autoSpaceDE/>
              <w:bidi w:val="0"/>
              <w:adjustRightInd/>
              <w:snapToGrid/>
              <w:spacing w:line="200" w:lineRule="exact"/>
              <w:rPr>
                <w:rFonts w:hint="default" w:ascii="Times New Roman" w:hAnsi="Times New Roman" w:eastAsia="MS Sans Serif" w:cs="Times New Roman"/>
                <w:i w:val="0"/>
                <w:iCs w:val="0"/>
                <w:color w:val="000000"/>
                <w:sz w:val="16"/>
                <w:szCs w:val="16"/>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topLinePunct w:val="0"/>
              <w:autoSpaceDE/>
              <w:bidi w:val="0"/>
              <w:adjustRightInd/>
              <w:snapToGrid/>
              <w:spacing w:line="200" w:lineRule="exact"/>
              <w:rPr>
                <w:rFonts w:hint="default" w:ascii="Times New Roman" w:hAnsi="Times New Roman" w:eastAsia="MS Sans Serif" w:cs="Times New Roman"/>
                <w:i w:val="0"/>
                <w:iCs w:val="0"/>
                <w:color w:val="000000"/>
                <w:sz w:val="16"/>
                <w:szCs w:val="16"/>
                <w:u w:val="none"/>
              </w:rPr>
            </w:pPr>
          </w:p>
        </w:tc>
        <w:tc>
          <w:tcPr>
            <w:tcW w:w="219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bottom"/>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小计</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b/>
                <w:bCs/>
                <w:i w:val="0"/>
                <w:iCs w:val="0"/>
                <w:color w:val="000000"/>
                <w:sz w:val="16"/>
                <w:szCs w:val="16"/>
                <w:u w:val="none"/>
              </w:rPr>
            </w:pPr>
            <w:r>
              <w:rPr>
                <w:rFonts w:hint="default" w:ascii="Times New Roman" w:hAnsi="Times New Roman" w:eastAsia="MS Sans Serif" w:cs="Times New Roman"/>
                <w:b/>
                <w:bCs/>
                <w:i w:val="0"/>
                <w:iCs w:val="0"/>
                <w:color w:val="000000"/>
                <w:kern w:val="0"/>
                <w:sz w:val="16"/>
                <w:szCs w:val="16"/>
                <w:u w:val="none"/>
                <w:lang w:val="en-US" w:eastAsia="zh-CN" w:bidi="ar"/>
              </w:rPr>
              <w:t xml:space="preserve">5,677.00 </w:t>
            </w:r>
          </w:p>
        </w:tc>
        <w:tc>
          <w:tcPr>
            <w:tcW w:w="371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kinsoku/>
              <w:wordWrap/>
              <w:overflowPunct/>
              <w:topLinePunct w:val="0"/>
              <w:autoSpaceDE/>
              <w:bidi w:val="0"/>
              <w:adjustRightInd/>
              <w:snapToGrid/>
              <w:spacing w:line="200" w:lineRule="exact"/>
              <w:rPr>
                <w:rFonts w:hint="default" w:ascii="MS Sans Serif" w:hAnsi="MS Sans Serif" w:eastAsia="MS Sans Serif" w:cs="MS Sans Serif"/>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2020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06</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-0005</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业务用车费</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 xml:space="preserve">12,000.00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汽车租赁合同</w:t>
            </w:r>
            <w:r>
              <w:rPr>
                <w:rFonts w:hint="default" w:ascii="Times New Roman" w:hAnsi="Times New Roman" w:eastAsia="宋体" w:cs="Times New Roman"/>
                <w:i w:val="0"/>
                <w:iCs w:val="0"/>
                <w:color w:val="000000"/>
                <w:kern w:val="0"/>
                <w:sz w:val="16"/>
                <w:szCs w:val="16"/>
                <w:u w:val="none"/>
                <w:lang w:val="en-US" w:eastAsia="zh-CN" w:bidi="ar"/>
              </w:rPr>
              <w:t>2020</w:t>
            </w:r>
            <w:r>
              <w:rPr>
                <w:rFonts w:hint="eastAsia" w:ascii="宋体" w:hAnsi="宋体" w:eastAsia="宋体" w:cs="宋体"/>
                <w:i w:val="0"/>
                <w:iCs w:val="0"/>
                <w:color w:val="000000"/>
                <w:kern w:val="0"/>
                <w:sz w:val="16"/>
                <w:szCs w:val="16"/>
                <w:u w:val="none"/>
                <w:lang w:val="en-US" w:eastAsia="zh-CN" w:bidi="ar"/>
              </w:rPr>
              <w:t>年</w:t>
            </w:r>
            <w:r>
              <w:rPr>
                <w:rFonts w:hint="default" w:ascii="Times New Roman" w:hAnsi="Times New Roman" w:eastAsia="宋体" w:cs="Times New Roman"/>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月</w:t>
            </w:r>
            <w:r>
              <w:rPr>
                <w:rFonts w:hint="default" w:ascii="Times New Roman" w:hAnsi="Times New Roman" w:eastAsia="宋体" w:cs="Times New Roman"/>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日</w:t>
            </w:r>
            <w:r>
              <w:rPr>
                <w:rFonts w:hint="default" w:ascii="Times New Roman" w:hAnsi="Times New Roman" w:eastAsia="宋体" w:cs="Times New Roman"/>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月</w:t>
            </w:r>
            <w:r>
              <w:rPr>
                <w:rFonts w:hint="default" w:ascii="Times New Roman" w:hAnsi="Times New Roman" w:eastAsia="宋体" w:cs="Times New Roman"/>
                <w:i w:val="0"/>
                <w:iCs w:val="0"/>
                <w:color w:val="000000"/>
                <w:kern w:val="0"/>
                <w:sz w:val="16"/>
                <w:szCs w:val="16"/>
                <w:u w:val="none"/>
                <w:lang w:val="en-US" w:eastAsia="zh-CN" w:bidi="ar"/>
              </w:rPr>
              <w:t>31</w:t>
            </w:r>
            <w:r>
              <w:rPr>
                <w:rFonts w:hint="eastAsia" w:ascii="宋体" w:hAnsi="宋体" w:eastAsia="宋体" w:cs="宋体"/>
                <w:i w:val="0"/>
                <w:iCs w:val="0"/>
                <w:color w:val="000000"/>
                <w:kern w:val="0"/>
                <w:sz w:val="16"/>
                <w:szCs w:val="16"/>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2020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11</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-0006</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业务用车</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 xml:space="preserve">12,000.00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租赁合同</w:t>
            </w:r>
            <w:r>
              <w:rPr>
                <w:rFonts w:hint="default" w:ascii="Times New Roman" w:hAnsi="Times New Roman" w:eastAsia="宋体" w:cs="Times New Roman"/>
                <w:i w:val="0"/>
                <w:iCs w:val="0"/>
                <w:color w:val="000000"/>
                <w:kern w:val="0"/>
                <w:sz w:val="16"/>
                <w:szCs w:val="16"/>
                <w:u w:val="none"/>
                <w:lang w:val="en-US" w:eastAsia="zh-CN" w:bidi="ar"/>
              </w:rPr>
              <w:t>2020</w:t>
            </w:r>
            <w:r>
              <w:rPr>
                <w:rFonts w:hint="eastAsia" w:ascii="宋体" w:hAnsi="宋体" w:eastAsia="宋体" w:cs="宋体"/>
                <w:i w:val="0"/>
                <w:iCs w:val="0"/>
                <w:color w:val="000000"/>
                <w:kern w:val="0"/>
                <w:sz w:val="16"/>
                <w:szCs w:val="16"/>
                <w:u w:val="none"/>
                <w:lang w:val="en-US" w:eastAsia="zh-CN" w:bidi="ar"/>
              </w:rPr>
              <w:t>年</w:t>
            </w:r>
            <w:r>
              <w:rPr>
                <w:rFonts w:hint="default" w:ascii="Times New Roman" w:hAnsi="Times New Roman" w:eastAsia="宋体" w:cs="Times New Roman"/>
                <w:i w:val="0"/>
                <w:iCs w:val="0"/>
                <w:color w:val="000000"/>
                <w:kern w:val="0"/>
                <w:sz w:val="16"/>
                <w:szCs w:val="16"/>
                <w:u w:val="none"/>
                <w:lang w:val="en-US" w:eastAsia="zh-CN" w:bidi="ar"/>
              </w:rPr>
              <w:t>6-8</w:t>
            </w:r>
            <w:r>
              <w:rPr>
                <w:rFonts w:hint="eastAsia" w:ascii="宋体" w:hAnsi="宋体" w:eastAsia="宋体" w:cs="宋体"/>
                <w:i w:val="0"/>
                <w:iCs w:val="0"/>
                <w:color w:val="000000"/>
                <w:kern w:val="0"/>
                <w:sz w:val="16"/>
                <w:szCs w:val="16"/>
                <w:u w:val="none"/>
                <w:lang w:val="en-US" w:eastAsia="zh-CN" w:bidi="ar"/>
              </w:rPr>
              <w:t>月湘</w:t>
            </w:r>
            <w:r>
              <w:rPr>
                <w:rFonts w:hint="default" w:ascii="Times New Roman" w:hAnsi="Times New Roman" w:eastAsia="宋体" w:cs="Times New Roman"/>
                <w:i w:val="0"/>
                <w:iCs w:val="0"/>
                <w:color w:val="000000"/>
                <w:kern w:val="0"/>
                <w:sz w:val="16"/>
                <w:szCs w:val="16"/>
                <w:u w:val="none"/>
                <w:lang w:val="en-US" w:eastAsia="zh-CN" w:bidi="ar"/>
              </w:rPr>
              <w:t>FWW375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center"/>
              <w:rPr>
                <w:rFonts w:hint="default" w:ascii="Times New Roman" w:hAnsi="Times New Roman" w:eastAsia="MS Sans Serif" w:cs="Times New Roman"/>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center"/>
              <w:rPr>
                <w:rFonts w:hint="default" w:ascii="Times New Roman" w:hAnsi="Times New Roman" w:eastAsia="MS Sans Serif" w:cs="Times New Roman"/>
                <w:i w:val="0"/>
                <w:iCs w:val="0"/>
                <w:color w:val="000000"/>
                <w:sz w:val="16"/>
                <w:szCs w:val="16"/>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center"/>
              <w:rPr>
                <w:rFonts w:hint="default" w:ascii="Times New Roman" w:hAnsi="Times New Roman" w:eastAsia="MS Sans Serif" w:cs="Times New Roman"/>
                <w:i w:val="0"/>
                <w:iCs w:val="0"/>
                <w:color w:val="000000"/>
                <w:sz w:val="16"/>
                <w:szCs w:val="16"/>
                <w:u w:val="none"/>
              </w:rPr>
            </w:pP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小计</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b/>
                <w:bCs/>
                <w:i w:val="0"/>
                <w:iCs w:val="0"/>
                <w:color w:val="000000"/>
                <w:sz w:val="16"/>
                <w:szCs w:val="16"/>
                <w:u w:val="none"/>
              </w:rPr>
            </w:pPr>
            <w:r>
              <w:rPr>
                <w:rFonts w:hint="default" w:ascii="Times New Roman" w:hAnsi="Times New Roman" w:eastAsia="MS Sans Serif" w:cs="Times New Roman"/>
                <w:b/>
                <w:bCs/>
                <w:i w:val="0"/>
                <w:iCs w:val="0"/>
                <w:color w:val="000000"/>
                <w:kern w:val="0"/>
                <w:sz w:val="16"/>
                <w:szCs w:val="16"/>
                <w:u w:val="none"/>
                <w:lang w:val="en-US" w:eastAsia="zh-CN" w:bidi="ar"/>
              </w:rPr>
              <w:t xml:space="preserve">24,000.00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left"/>
              <w:rPr>
                <w:rFonts w:hint="default" w:ascii="Times New Roman" w:hAnsi="Times New Roman" w:eastAsia="MS Sans Serif"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2020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09</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-0006</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购置安全帽</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 xml:space="preserve">800.00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劳保用品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2020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11</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-0003</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接待用茶叶</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 xml:space="preserve">2,640.00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购买茶叶</w:t>
            </w:r>
            <w:r>
              <w:rPr>
                <w:rFonts w:hint="default" w:ascii="Times New Roman" w:hAnsi="Times New Roman" w:eastAsia="宋体" w:cs="Times New Roman"/>
                <w:i w:val="0"/>
                <w:iCs w:val="0"/>
                <w:color w:val="000000"/>
                <w:kern w:val="0"/>
                <w:sz w:val="16"/>
                <w:szCs w:val="16"/>
                <w:u w:val="none"/>
                <w:lang w:val="en-US" w:eastAsia="zh-CN" w:bidi="ar"/>
              </w:rPr>
              <w:t>44</w:t>
            </w:r>
            <w:r>
              <w:rPr>
                <w:rFonts w:hint="eastAsia" w:ascii="宋体" w:hAnsi="宋体" w:eastAsia="宋体" w:cs="宋体"/>
                <w:i w:val="0"/>
                <w:iCs w:val="0"/>
                <w:color w:val="000000"/>
                <w:kern w:val="0"/>
                <w:sz w:val="16"/>
                <w:szCs w:val="16"/>
                <w:u w:val="none"/>
                <w:lang w:val="en-US" w:eastAsia="zh-CN" w:bidi="ar"/>
              </w:rPr>
              <w:t>斤</w:t>
            </w:r>
            <w:r>
              <w:rPr>
                <w:rFonts w:hint="default" w:ascii="Times New Roman" w:hAnsi="Times New Roman" w:eastAsia="宋体" w:cs="Times New Roman"/>
                <w:i w:val="0"/>
                <w:iCs w:val="0"/>
                <w:color w:val="000000"/>
                <w:kern w:val="0"/>
                <w:sz w:val="16"/>
                <w:szCs w:val="16"/>
                <w:u w:val="none"/>
                <w:lang w:val="en-US" w:eastAsia="zh-CN" w:bidi="ar"/>
              </w:rPr>
              <w:t>*60</w:t>
            </w:r>
            <w:r>
              <w:rPr>
                <w:rFonts w:hint="eastAsia" w:ascii="宋体" w:hAnsi="宋体" w:eastAsia="宋体" w:cs="宋体"/>
                <w:i w:val="0"/>
                <w:iCs w:val="0"/>
                <w:color w:val="000000"/>
                <w:kern w:val="0"/>
                <w:sz w:val="16"/>
                <w:szCs w:val="16"/>
                <w:u w:val="none"/>
                <w:lang w:val="en-US" w:eastAsia="zh-CN" w:bidi="ar"/>
              </w:rPr>
              <w:t>元/单价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2020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11</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w:t>
            </w:r>
            <w:r>
              <w:rPr>
                <w:rFonts w:hint="default" w:ascii="Times New Roman" w:hAnsi="Times New Roman" w:eastAsia="宋体" w:cs="Times New Roman"/>
                <w:i w:val="0"/>
                <w:iCs w:val="0"/>
                <w:color w:val="000000"/>
                <w:kern w:val="0"/>
                <w:sz w:val="16"/>
                <w:szCs w:val="16"/>
                <w:u w:val="none"/>
                <w:lang w:val="en-US" w:eastAsia="zh-CN" w:bidi="ar"/>
              </w:rPr>
              <w:t>-0008</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项目值班补助支出</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i w:val="0"/>
                <w:iCs w:val="0"/>
                <w:color w:val="000000"/>
                <w:sz w:val="16"/>
                <w:szCs w:val="16"/>
                <w:u w:val="none"/>
              </w:rPr>
            </w:pPr>
            <w:r>
              <w:rPr>
                <w:rFonts w:hint="default" w:ascii="Times New Roman" w:hAnsi="Times New Roman" w:eastAsia="MS Sans Serif" w:cs="Times New Roman"/>
                <w:i w:val="0"/>
                <w:iCs w:val="0"/>
                <w:color w:val="000000"/>
                <w:kern w:val="0"/>
                <w:sz w:val="16"/>
                <w:szCs w:val="16"/>
                <w:u w:val="none"/>
                <w:lang w:val="en-US" w:eastAsia="zh-CN" w:bidi="ar"/>
              </w:rPr>
              <w:t xml:space="preserve">16,800.00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工作人员现场津贴2020年7月-9月共9人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center"/>
              <w:rPr>
                <w:rFonts w:hint="default" w:ascii="Times New Roman" w:hAnsi="Times New Roman" w:eastAsia="MS Sans Serif" w:cs="Times New Roman"/>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center"/>
              <w:rPr>
                <w:rFonts w:hint="default" w:ascii="Times New Roman" w:hAnsi="Times New Roman" w:eastAsia="MS Sans Serif" w:cs="Times New Roman"/>
                <w:i w:val="0"/>
                <w:iCs w:val="0"/>
                <w:color w:val="000000"/>
                <w:sz w:val="16"/>
                <w:szCs w:val="16"/>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center"/>
              <w:rPr>
                <w:rFonts w:hint="eastAsia" w:ascii="宋体" w:hAnsi="宋体" w:eastAsia="宋体" w:cs="宋体"/>
                <w:i w:val="0"/>
                <w:iCs w:val="0"/>
                <w:color w:val="000000"/>
                <w:sz w:val="16"/>
                <w:szCs w:val="16"/>
                <w:u w:val="none"/>
              </w:rPr>
            </w:pPr>
          </w:p>
        </w:tc>
        <w:tc>
          <w:tcPr>
            <w:tcW w:w="2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小计</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b/>
                <w:bCs/>
                <w:i w:val="0"/>
                <w:iCs w:val="0"/>
                <w:color w:val="000000"/>
                <w:sz w:val="16"/>
                <w:szCs w:val="16"/>
                <w:u w:val="none"/>
              </w:rPr>
            </w:pPr>
            <w:r>
              <w:rPr>
                <w:rFonts w:hint="default" w:ascii="Times New Roman" w:hAnsi="Times New Roman" w:eastAsia="MS Sans Serif" w:cs="Times New Roman"/>
                <w:b/>
                <w:bCs/>
                <w:i w:val="0"/>
                <w:iCs w:val="0"/>
                <w:color w:val="000000"/>
                <w:kern w:val="0"/>
                <w:sz w:val="16"/>
                <w:szCs w:val="16"/>
                <w:u w:val="none"/>
                <w:lang w:val="en-US" w:eastAsia="zh-CN" w:bidi="ar"/>
              </w:rPr>
              <w:t xml:space="preserve">20,240.00 </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00" w:lineRule="exact"/>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B4C6E7"/>
            <w:noWrap w:val="0"/>
            <w:vAlign w:val="bottom"/>
          </w:tcPr>
          <w:p>
            <w:pPr>
              <w:keepNext w:val="0"/>
              <w:keepLines w:val="0"/>
              <w:pageBreakBefore w:val="0"/>
              <w:kinsoku/>
              <w:wordWrap/>
              <w:overflowPunct/>
              <w:topLinePunct w:val="0"/>
              <w:autoSpaceDE/>
              <w:bidi w:val="0"/>
              <w:adjustRightInd/>
              <w:snapToGrid/>
              <w:spacing w:line="200" w:lineRule="exact"/>
              <w:rPr>
                <w:rFonts w:hint="default" w:ascii="Times New Roman" w:hAnsi="Times New Roman" w:eastAsia="MS Sans Serif" w:cs="Times New Roman"/>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B4C6E7"/>
            <w:noWrap w:val="0"/>
            <w:vAlign w:val="bottom"/>
          </w:tcPr>
          <w:p>
            <w:pPr>
              <w:keepNext w:val="0"/>
              <w:keepLines w:val="0"/>
              <w:pageBreakBefore w:val="0"/>
              <w:kinsoku/>
              <w:wordWrap/>
              <w:overflowPunct/>
              <w:topLinePunct w:val="0"/>
              <w:autoSpaceDE/>
              <w:bidi w:val="0"/>
              <w:adjustRightInd/>
              <w:snapToGrid/>
              <w:spacing w:line="200" w:lineRule="exact"/>
              <w:rPr>
                <w:rFonts w:hint="default" w:ascii="Times New Roman" w:hAnsi="Times New Roman" w:eastAsia="MS Sans Serif" w:cs="Times New Roman"/>
                <w:i w:val="0"/>
                <w:iCs w:val="0"/>
                <w:color w:val="000000"/>
                <w:sz w:val="16"/>
                <w:szCs w:val="16"/>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B4C6E7"/>
            <w:noWrap w:val="0"/>
            <w:vAlign w:val="bottom"/>
          </w:tcPr>
          <w:p>
            <w:pPr>
              <w:keepNext w:val="0"/>
              <w:keepLines w:val="0"/>
              <w:pageBreakBefore w:val="0"/>
              <w:kinsoku/>
              <w:wordWrap/>
              <w:overflowPunct/>
              <w:topLinePunct w:val="0"/>
              <w:autoSpaceDE/>
              <w:bidi w:val="0"/>
              <w:adjustRightInd/>
              <w:snapToGrid/>
              <w:spacing w:line="200" w:lineRule="exact"/>
              <w:rPr>
                <w:rFonts w:hint="default" w:ascii="Times New Roman" w:hAnsi="Times New Roman" w:eastAsia="MS Sans Serif" w:cs="Times New Roman"/>
                <w:i w:val="0"/>
                <w:iCs w:val="0"/>
                <w:color w:val="000000"/>
                <w:sz w:val="16"/>
                <w:szCs w:val="16"/>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B4C6E7"/>
            <w:noWrap w:val="0"/>
            <w:vAlign w:val="bottom"/>
          </w:tcPr>
          <w:p>
            <w:pPr>
              <w:keepNext w:val="0"/>
              <w:keepLines w:val="0"/>
              <w:pageBreakBefore w:val="0"/>
              <w:widowControl/>
              <w:suppressLineNumbers w:val="0"/>
              <w:kinsoku/>
              <w:wordWrap/>
              <w:overflowPunct/>
              <w:topLinePunct w:val="0"/>
              <w:autoSpaceDE/>
              <w:bidi w:val="0"/>
              <w:adjustRightInd/>
              <w:snapToGrid/>
              <w:spacing w:line="200" w:lineRule="exact"/>
              <w:jc w:val="left"/>
              <w:textAlignment w:val="bottom"/>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总计</w:t>
            </w:r>
          </w:p>
        </w:tc>
        <w:tc>
          <w:tcPr>
            <w:tcW w:w="1233" w:type="dxa"/>
            <w:tcBorders>
              <w:top w:val="single" w:color="000000" w:sz="4" w:space="0"/>
              <w:left w:val="single" w:color="000000" w:sz="4" w:space="0"/>
              <w:bottom w:val="single" w:color="000000" w:sz="4" w:space="0"/>
              <w:right w:val="single" w:color="000000" w:sz="4" w:space="0"/>
            </w:tcBorders>
            <w:shd w:val="clear" w:color="auto" w:fill="B4C6E7"/>
            <w:noWrap w:val="0"/>
            <w:vAlign w:val="center"/>
          </w:tcPr>
          <w:p>
            <w:pPr>
              <w:keepNext w:val="0"/>
              <w:keepLines w:val="0"/>
              <w:pageBreakBefore w:val="0"/>
              <w:widowControl/>
              <w:suppressLineNumbers w:val="0"/>
              <w:kinsoku/>
              <w:wordWrap/>
              <w:overflowPunct/>
              <w:topLinePunct w:val="0"/>
              <w:autoSpaceDE/>
              <w:bidi w:val="0"/>
              <w:adjustRightInd/>
              <w:snapToGrid/>
              <w:spacing w:line="200" w:lineRule="exact"/>
              <w:jc w:val="center"/>
              <w:textAlignment w:val="center"/>
              <w:rPr>
                <w:rFonts w:hint="default" w:ascii="Times New Roman" w:hAnsi="Times New Roman" w:eastAsia="MS Sans Serif" w:cs="Times New Roman"/>
                <w:b/>
                <w:bCs/>
                <w:i w:val="0"/>
                <w:iCs w:val="0"/>
                <w:color w:val="000000"/>
                <w:sz w:val="16"/>
                <w:szCs w:val="16"/>
                <w:u w:val="none"/>
              </w:rPr>
            </w:pPr>
            <w:r>
              <w:rPr>
                <w:rFonts w:hint="default" w:ascii="Times New Roman" w:hAnsi="Times New Roman" w:eastAsia="MS Sans Serif" w:cs="Times New Roman"/>
                <w:b/>
                <w:bCs/>
                <w:i w:val="0"/>
                <w:iCs w:val="0"/>
                <w:color w:val="000000"/>
                <w:kern w:val="0"/>
                <w:sz w:val="16"/>
                <w:szCs w:val="16"/>
                <w:u w:val="none"/>
                <w:lang w:val="en-US" w:eastAsia="zh-CN" w:bidi="ar"/>
              </w:rPr>
              <w:t xml:space="preserve">69,011,273.32 </w:t>
            </w:r>
          </w:p>
        </w:tc>
        <w:tc>
          <w:tcPr>
            <w:tcW w:w="3717" w:type="dxa"/>
            <w:tcBorders>
              <w:top w:val="single" w:color="000000" w:sz="4" w:space="0"/>
              <w:left w:val="single" w:color="000000" w:sz="4" w:space="0"/>
              <w:bottom w:val="single" w:color="000000" w:sz="4" w:space="0"/>
              <w:right w:val="single" w:color="000000" w:sz="4" w:space="0"/>
            </w:tcBorders>
            <w:shd w:val="clear" w:color="auto" w:fill="B4C6E7"/>
            <w:noWrap w:val="0"/>
            <w:vAlign w:val="center"/>
          </w:tcPr>
          <w:p>
            <w:pPr>
              <w:keepNext w:val="0"/>
              <w:keepLines w:val="0"/>
              <w:pageBreakBefore w:val="0"/>
              <w:kinsoku/>
              <w:wordWrap/>
              <w:overflowPunct/>
              <w:topLinePunct w:val="0"/>
              <w:autoSpaceDE/>
              <w:bidi w:val="0"/>
              <w:adjustRightInd/>
              <w:snapToGrid/>
              <w:spacing w:line="200" w:lineRule="exact"/>
              <w:jc w:val="left"/>
              <w:rPr>
                <w:rFonts w:hint="default" w:ascii="Times New Roman" w:hAnsi="Times New Roman" w:eastAsia="MS Sans Serif" w:cs="Times New Roman"/>
                <w:i w:val="0"/>
                <w:iCs w:val="0"/>
                <w:color w:val="000000"/>
                <w:sz w:val="18"/>
                <w:szCs w:val="18"/>
                <w:u w:val="none"/>
              </w:rPr>
            </w:pPr>
          </w:p>
        </w:tc>
      </w:tr>
    </w:tbl>
    <w:p>
      <w:pPr>
        <w:keepNext w:val="0"/>
        <w:keepLines w:val="0"/>
        <w:pageBreakBefore w:val="0"/>
        <w:kinsoku/>
        <w:wordWrap/>
        <w:overflowPunct/>
        <w:topLinePunct w:val="0"/>
        <w:autoSpaceDE/>
        <w:bidi w:val="0"/>
        <w:adjustRightInd/>
        <w:snapToGrid/>
        <w:spacing w:line="520" w:lineRule="exact"/>
        <w:rPr>
          <w:rFonts w:hint="eastAsia" w:ascii="宋体" w:hAnsi="宋体" w:eastAsia="宋体" w:cs="宋体"/>
          <w:b/>
          <w:bCs/>
          <w:sz w:val="28"/>
          <w:szCs w:val="28"/>
          <w:highlight w:val="none"/>
          <w:lang w:val="en-US" w:eastAsia="zh-CN"/>
        </w:rPr>
      </w:pPr>
    </w:p>
    <w:p>
      <w:pPr>
        <w:keepNext w:val="0"/>
        <w:keepLines w:val="0"/>
        <w:pageBreakBefore w:val="0"/>
        <w:widowControl w:val="0"/>
        <w:kinsoku/>
        <w:wordWrap/>
        <w:overflowPunct/>
        <w:topLinePunct w:val="0"/>
        <w:autoSpaceDE/>
        <w:bidi w:val="0"/>
        <w:snapToGrid/>
        <w:spacing w:line="52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rPr>
        <w:t>（三）资金与项目</w:t>
      </w:r>
      <w:r>
        <w:rPr>
          <w:rFonts w:hint="eastAsia" w:ascii="宋体" w:hAnsi="宋体" w:eastAsia="宋体" w:cs="宋体"/>
          <w:b/>
          <w:bCs/>
          <w:sz w:val="28"/>
          <w:szCs w:val="28"/>
          <w:lang w:val="en-US" w:eastAsia="zh-CN"/>
        </w:rPr>
        <w:t>组织管理</w:t>
      </w:r>
      <w:r>
        <w:rPr>
          <w:rFonts w:hint="eastAsia" w:ascii="宋体" w:hAnsi="宋体" w:eastAsia="宋体" w:cs="宋体"/>
          <w:b/>
          <w:bCs/>
          <w:sz w:val="28"/>
          <w:szCs w:val="28"/>
        </w:rPr>
        <w:t>情况</w:t>
      </w:r>
    </w:p>
    <w:p>
      <w:pPr>
        <w:keepNext w:val="0"/>
        <w:keepLines w:val="0"/>
        <w:pageBreakBefore w:val="0"/>
        <w:widowControl w:val="0"/>
        <w:kinsoku/>
        <w:wordWrap/>
        <w:overflowPunct/>
        <w:topLinePunct w:val="0"/>
        <w:autoSpaceDE/>
        <w:bidi w:val="0"/>
        <w:snapToGrid/>
        <w:spacing w:line="520" w:lineRule="exact"/>
        <w:ind w:firstLine="560" w:firstLineChars="200"/>
        <w:rPr>
          <w:rFonts w:hint="eastAsia" w:ascii="宋体" w:hAnsi="宋体" w:eastAsia="宋体" w:cs="宋体"/>
          <w:b/>
          <w:bCs/>
          <w:sz w:val="28"/>
          <w:szCs w:val="28"/>
        </w:rPr>
      </w:pPr>
      <w:r>
        <w:rPr>
          <w:rFonts w:hint="eastAsia" w:ascii="宋体" w:hAnsi="宋体" w:eastAsia="宋体" w:cs="宋体"/>
          <w:sz w:val="28"/>
          <w:szCs w:val="28"/>
        </w:rPr>
        <w:t>1、</w:t>
      </w:r>
      <w:r>
        <w:rPr>
          <w:rFonts w:hint="eastAsia" w:ascii="宋体" w:hAnsi="宋体" w:eastAsia="宋体" w:cs="宋体"/>
          <w:b/>
          <w:bCs/>
          <w:sz w:val="28"/>
          <w:szCs w:val="28"/>
        </w:rPr>
        <w:t>资金</w:t>
      </w:r>
      <w:r>
        <w:rPr>
          <w:rFonts w:hint="eastAsia" w:ascii="宋体" w:hAnsi="宋体" w:eastAsia="宋体" w:cs="宋体"/>
          <w:b/>
          <w:bCs/>
          <w:sz w:val="28"/>
          <w:szCs w:val="28"/>
          <w:lang w:val="en-US" w:eastAsia="zh-CN"/>
        </w:rPr>
        <w:t>与项目</w:t>
      </w:r>
      <w:r>
        <w:rPr>
          <w:rFonts w:hint="eastAsia" w:ascii="宋体" w:hAnsi="宋体" w:eastAsia="宋体" w:cs="宋体"/>
          <w:b/>
          <w:bCs/>
          <w:sz w:val="28"/>
          <w:szCs w:val="28"/>
        </w:rPr>
        <w:t>管理情况</w:t>
      </w:r>
    </w:p>
    <w:p>
      <w:pPr>
        <w:keepNext w:val="0"/>
        <w:keepLines w:val="0"/>
        <w:pageBreakBefore w:val="0"/>
        <w:widowControl w:val="0"/>
        <w:kinsoku/>
        <w:wordWrap/>
        <w:overflowPunct/>
        <w:topLinePunct w:val="0"/>
        <w:autoSpaceDE/>
        <w:bidi w:val="0"/>
        <w:snapToGrid/>
        <w:spacing w:line="5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（1）债券资金及</w:t>
      </w:r>
      <w:r>
        <w:rPr>
          <w:rFonts w:hint="eastAsia" w:ascii="宋体" w:hAnsi="宋体" w:eastAsia="宋体" w:cs="宋体"/>
          <w:sz w:val="28"/>
          <w:szCs w:val="28"/>
          <w:highlight w:val="none"/>
        </w:rPr>
        <w:t>项目组织管理机构情况</w:t>
      </w:r>
      <w:r>
        <w:rPr>
          <w:rFonts w:hint="eastAsia" w:ascii="宋体" w:hAnsi="宋体" w:eastAsia="宋体" w:cs="宋体"/>
          <w:sz w:val="28"/>
          <w:szCs w:val="28"/>
        </w:rPr>
        <w:t>。</w:t>
      </w:r>
      <w:r>
        <w:rPr>
          <w:rFonts w:hint="eastAsia" w:ascii="宋体" w:hAnsi="宋体" w:eastAsia="宋体" w:cs="宋体"/>
          <w:sz w:val="28"/>
          <w:szCs w:val="28"/>
          <w:lang w:val="en-US" w:eastAsia="zh-CN"/>
        </w:rPr>
        <w:t>本项目</w:t>
      </w:r>
      <w:r>
        <w:rPr>
          <w:rFonts w:hint="eastAsia" w:ascii="宋体" w:hAnsi="宋体" w:eastAsia="宋体" w:cs="宋体"/>
          <w:sz w:val="28"/>
          <w:szCs w:val="28"/>
        </w:rPr>
        <w:t>专项债券资金</w:t>
      </w:r>
      <w:r>
        <w:rPr>
          <w:rFonts w:hint="eastAsia" w:ascii="宋体" w:hAnsi="宋体" w:eastAsia="宋体" w:cs="宋体"/>
          <w:sz w:val="28"/>
          <w:szCs w:val="28"/>
          <w:lang w:val="en-US" w:eastAsia="zh-CN"/>
        </w:rPr>
        <w:t>发行主体为省人民政府，本项目债券资金</w:t>
      </w:r>
      <w:r>
        <w:rPr>
          <w:rFonts w:hint="eastAsia" w:ascii="宋体" w:hAnsi="宋体" w:eastAsia="宋体" w:cs="宋体"/>
          <w:sz w:val="28"/>
          <w:szCs w:val="28"/>
        </w:rPr>
        <w:t>组织管理机构为</w:t>
      </w:r>
      <w:r>
        <w:rPr>
          <w:rFonts w:hint="eastAsia" w:ascii="宋体" w:hAnsi="宋体" w:eastAsia="宋体" w:cs="宋体"/>
          <w:sz w:val="28"/>
          <w:szCs w:val="28"/>
          <w:lang w:val="en-US" w:eastAsia="zh-CN"/>
        </w:rPr>
        <w:t>区</w:t>
      </w:r>
      <w:r>
        <w:rPr>
          <w:rFonts w:hint="eastAsia" w:ascii="宋体" w:hAnsi="宋体" w:eastAsia="宋体" w:cs="宋体"/>
          <w:sz w:val="28"/>
          <w:szCs w:val="28"/>
        </w:rPr>
        <w:t>财政局。</w:t>
      </w:r>
      <w:r>
        <w:rPr>
          <w:rFonts w:hint="eastAsia" w:ascii="宋体" w:hAnsi="宋体" w:eastAsia="宋体" w:cs="宋体"/>
          <w:sz w:val="28"/>
          <w:szCs w:val="28"/>
          <w:lang w:val="en-US" w:eastAsia="zh-CN"/>
        </w:rPr>
        <w:t>项目组织管理机构为建设协调指挥部，晨宇公司作为项目业主单位，负责项目具体实施，区住建局全力配合，并参与项目实施。</w:t>
      </w:r>
    </w:p>
    <w:p>
      <w:pPr>
        <w:keepNext w:val="0"/>
        <w:keepLines w:val="0"/>
        <w:pageBreakBefore w:val="0"/>
        <w:widowControl w:val="0"/>
        <w:kinsoku/>
        <w:wordWrap/>
        <w:overflowPunct/>
        <w:topLinePunct w:val="0"/>
        <w:autoSpaceDE/>
        <w:bidi w:val="0"/>
        <w:adjustRightInd/>
        <w:snapToGrid/>
        <w:spacing w:line="520" w:lineRule="exact"/>
        <w:ind w:firstLine="562" w:firstLineChars="200"/>
        <w:jc w:val="both"/>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w:t>
      </w:r>
      <w:r>
        <w:rPr>
          <w:rFonts w:hint="eastAsia" w:ascii="宋体" w:hAnsi="宋体" w:eastAsia="宋体" w:cs="宋体"/>
          <w:b w:val="0"/>
          <w:bCs w:val="0"/>
          <w:sz w:val="28"/>
          <w:szCs w:val="28"/>
          <w:highlight w:val="none"/>
          <w:lang w:val="en-US" w:eastAsia="zh-CN"/>
        </w:rPr>
        <w:t xml:space="preserve">2）债券资金投向结构：项目总投资概算11,155.13万元,其中债券资金3,000万元，占项目总投资概算26.89%；计划项目单位自筹8,155.13万元，约占总投资73.11%。现场评价实际支出6,901.13万元，债券资金支出3,000万元占现场评价实际支出资金43.47%，债券资金全部用于项目建设，使用率100%。               </w:t>
      </w:r>
    </w:p>
    <w:p>
      <w:pPr>
        <w:keepNext w:val="0"/>
        <w:keepLines w:val="0"/>
        <w:pageBreakBefore w:val="0"/>
        <w:widowControl w:val="0"/>
        <w:numPr>
          <w:ilvl w:val="0"/>
          <w:numId w:val="0"/>
        </w:numPr>
        <w:kinsoku/>
        <w:wordWrap/>
        <w:overflowPunct/>
        <w:topLinePunct w:val="0"/>
        <w:autoSpaceDE/>
        <w:bidi w:val="0"/>
        <w:adjustRightInd/>
        <w:snapToGrid/>
        <w:spacing w:line="520" w:lineRule="exact"/>
        <w:ind w:firstLine="560" w:firstLineChars="200"/>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（3）债券资金拨付及时性：项目建设期为2020年4月-2020年11月末，债券资金于2020年11月13日拨付到位，用于支付项目竣工验收进度款，债券资金拨付较及时。</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4）债券资金管理情况。根据市财政局发送《关于下达2020年第三批新增专项债务限额的通知》，根据项目主管单位区住建局申请，经相关领导审批，分配本项目专项债券资金额度3,000万元；由区财政局拨付至区住建局帐户（户名云溪区城市提质改造工程指挥部、帐号902882120100100007737），再由区住建局拨付至项目实施单位晨宇公司。晨宇公司将债券资金与自筹资金混同核算，资金支出时由经办人根据项目进度申请，城建投分管负责人及董事长审核，区政府分管副区长及区政府常务副区长审批后，拨付至项目施工单位帐户。</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（5）</w:t>
      </w:r>
      <w:r>
        <w:rPr>
          <w:rFonts w:hint="eastAsia" w:ascii="宋体" w:hAnsi="宋体" w:eastAsia="宋体" w:cs="宋体"/>
          <w:b/>
          <w:bCs/>
          <w:sz w:val="28"/>
          <w:szCs w:val="28"/>
          <w:highlight w:val="none"/>
          <w:lang w:val="en-US" w:eastAsia="zh-CN"/>
        </w:rPr>
        <w:t>项目建设资金支付管理情况</w:t>
      </w:r>
      <w:r>
        <w:rPr>
          <w:rFonts w:hint="eastAsia" w:ascii="宋体" w:hAnsi="宋体" w:eastAsia="宋体" w:cs="宋体"/>
          <w:b w:val="0"/>
          <w:bCs w:val="0"/>
          <w:sz w:val="28"/>
          <w:szCs w:val="28"/>
          <w:highlight w:val="none"/>
          <w:lang w:val="en-US" w:eastAsia="zh-CN"/>
        </w:rPr>
        <w:t>。工程款支付按工程进度支付，施工期间，承包方按月统计工程量，经理及发包人审核后，按实际完成工作量的80%支付工程款，竣工验收合格支付至总价85%；竣工备案和结算审计后支付至审定金额的95%，余额作为质保金，在工程质量保修期满后一次性付清；设计款付款周期为承包人提交施工图设计成果并通过评审后10个工作日内，发包人抽承包人支付合同设计费总额75%，工程竣工验收完成后，发包人向承包人支付设计费余额。</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2、项目管理情况</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项目管理情况。项目经岳阳市发改委批复，2020年3月11日晨宇公司在岳阳市公共资源交易网发布《岳阳市云溪区长岭污水处理厂设计采购施工总承包》公开招标公告，由湖南和庆源建设工程有限公司（牵头方）湖南博世科环保科技有限公司（成员方）联合中标；项目由湖南省硅谷项目管理有限公司监理，由岳阳市云溪区建筑质量安全服务中心负责质量监督，项目工程于2020年12月7日完成竣工验收备案。项目实施流程明确，手续合规。</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2）项目制度建设情况。晨宇公司未制订与本项目相关管理制度，执行区城建投公司全面预算管理制度、资金管理办法、固定资产管理制度、存货管理制度、在建工程管理制度、工程项目管理制度、外包工程管理制度、等内部管理制度。</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textAlignment w:val="center"/>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（四）绩效目标任务（建设期）</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firstLine="703" w:firstLineChars="250"/>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bCs/>
          <w:sz w:val="28"/>
          <w:szCs w:val="28"/>
          <w:highlight w:val="none"/>
          <w:lang w:val="en-US" w:eastAsia="zh-CN"/>
        </w:rPr>
        <w:t>总体目标：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 xml:space="preserve">    为深入贯彻国务院颁布的《水污染防治行动计划》提出“到2020年，地级及以上城市建成区黑臭水体均控制在10%以内，到2030年，城市建成区黑臭水体总体得到消除”的控制性目标。根据湖南省人民政府印发的《洞庭湖生态环境专项整治三年行动计划（2018—2020年）》和岳阳市人民政府印发的《岳阳市洞庭湖生态环境专项整治三年行动计划（2018—2020年）》文件精神和要求，在2020年前，县城、城市污水处理率分别达到85%、95%左右，建制镇污水处理设施全覆盖。</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2、产出目标任务</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（1）数量目标任务</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①项目新建1座污水处理厂、建筑物面积1520平方米，包括粗格栅及提升泵站、细格栅及旋流沉砂池、AAO池、高效沉淀池、过滤池、消毒计量池、污泥脱水车间、加药间等污水处理构筑物，以及办公楼、机修间、值班室、鼓风机房、配电间、厂区道路、绿化、围墙、门卫和大门等附属配套设施。</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②处理能力达到1万立方米/天。</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③新增长街办片区、八字门片区及路口片区污水管网，新建重力流污水管道总长约16973米，检查井428座、沉泥井10座、阀门井4座、排气井3座、泄水井2座、跌水井4座。</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textAlignment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④维修改造长岭社区内部污水收集管道2949米、检查井90座、化粪池1座。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b/>
          <w:bCs/>
          <w:color w:val="000000"/>
          <w:sz w:val="28"/>
          <w:szCs w:val="28"/>
          <w:lang w:val="en-US" w:eastAsia="zh-CN"/>
        </w:rPr>
        <w:t>（2）质量目标任务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①建筑安装工程竣工验收合格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②采购设施设备质量验收合格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③污水处理设施出水水质达到《城镇污水处理厂污染物排放标准》（GB18918-2002)中一级A标准。</w:t>
      </w:r>
    </w:p>
    <w:p>
      <w:pPr>
        <w:keepNext w:val="0"/>
        <w:keepLines w:val="0"/>
        <w:pageBreakBefore w:val="0"/>
        <w:widowControl w:val="0"/>
        <w:kinsoku/>
        <w:wordWrap/>
        <w:overflowPunct/>
        <w:topLinePunct w:val="0"/>
        <w:autoSpaceDE/>
        <w:bidi w:val="0"/>
        <w:adjustRightInd/>
        <w:snapToGrid/>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④</w:t>
      </w:r>
      <w:r>
        <w:rPr>
          <w:rFonts w:hint="eastAsia" w:ascii="宋体" w:hAnsi="宋体" w:eastAsia="宋体" w:cs="宋体"/>
          <w:color w:val="000000"/>
          <w:sz w:val="28"/>
          <w:szCs w:val="28"/>
        </w:rPr>
        <w:t>相关</w:t>
      </w:r>
      <w:r>
        <w:rPr>
          <w:rFonts w:hint="eastAsia" w:ascii="宋体" w:hAnsi="宋体" w:eastAsia="宋体" w:cs="宋体"/>
          <w:color w:val="000000"/>
          <w:sz w:val="28"/>
          <w:szCs w:val="28"/>
          <w:lang w:val="en-US" w:eastAsia="zh-CN"/>
        </w:rPr>
        <w:t>部门检查问题整改率100%。</w:t>
      </w:r>
    </w:p>
    <w:p>
      <w:pPr>
        <w:keepNext w:val="0"/>
        <w:keepLines w:val="0"/>
        <w:pageBreakBefore w:val="0"/>
        <w:widowControl w:val="0"/>
        <w:kinsoku/>
        <w:wordWrap/>
        <w:overflowPunct/>
        <w:topLinePunct w:val="0"/>
        <w:autoSpaceDE/>
        <w:bidi w:val="0"/>
        <w:adjustRightInd/>
        <w:snapToGrid/>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⑤岳阳市“洞庭清波”问题整改挂帐销号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i w:val="0"/>
          <w:color w:val="000000"/>
          <w:kern w:val="0"/>
          <w:sz w:val="28"/>
          <w:szCs w:val="28"/>
          <w:u w:val="none"/>
          <w:lang w:val="en-US" w:eastAsia="zh-CN" w:bidi="ar"/>
        </w:rPr>
        <w:t>（3）时限目标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①按合同时间开工（2020年4月26日）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②按合同时间竣工（2020年11月26日）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③按区政府要求时间交付使用（2020年12月30日前）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（4）成本控制目标</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①</w:t>
      </w:r>
      <w:r>
        <w:rPr>
          <w:rFonts w:hint="eastAsia" w:ascii="宋体" w:hAnsi="宋体" w:eastAsia="宋体" w:cs="宋体"/>
          <w:color w:val="000000"/>
          <w:sz w:val="28"/>
          <w:szCs w:val="28"/>
        </w:rPr>
        <w:t>项目支出控制在预算成本范围内</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②2021年预期收入与成本控制达到预期目标</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highlight w:val="none"/>
          <w:lang w:val="en-US" w:eastAsia="zh-CN"/>
        </w:rPr>
        <w:t>③居民生活用水收费标准按1.1元/吨m³收取。</w:t>
      </w:r>
    </w:p>
    <w:p>
      <w:pPr>
        <w:keepNext w:val="0"/>
        <w:keepLines w:val="0"/>
        <w:pageBreakBefore w:val="0"/>
        <w:widowControl w:val="0"/>
        <w:kinsoku/>
        <w:wordWrap/>
        <w:overflowPunct/>
        <w:topLinePunct w:val="0"/>
        <w:autoSpaceDE/>
        <w:bidi w:val="0"/>
        <w:snapToGrid/>
        <w:spacing w:line="520" w:lineRule="exact"/>
        <w:ind w:firstLine="560" w:firstLineChars="200"/>
        <w:rPr>
          <w:rFonts w:hint="eastAsia" w:ascii="宋体" w:hAnsi="宋体" w:eastAsia="宋体" w:cs="宋体"/>
          <w:b w:val="0"/>
          <w:bCs w:val="0"/>
          <w:color w:val="000000"/>
          <w:sz w:val="28"/>
          <w:szCs w:val="28"/>
          <w:highlight w:val="yellow"/>
          <w:lang w:val="en-US" w:eastAsia="zh-CN"/>
        </w:rPr>
      </w:pPr>
      <w:r>
        <w:rPr>
          <w:rFonts w:hint="eastAsia" w:ascii="宋体" w:hAnsi="宋体" w:eastAsia="宋体" w:cs="宋体"/>
          <w:color w:val="000000"/>
          <w:sz w:val="28"/>
          <w:szCs w:val="28"/>
        </w:rPr>
        <w:t>④</w:t>
      </w:r>
      <w:r>
        <w:rPr>
          <w:rFonts w:hint="eastAsia" w:ascii="宋体" w:hAnsi="宋体" w:eastAsia="宋体" w:cs="宋体"/>
          <w:color w:val="000000"/>
          <w:sz w:val="28"/>
          <w:szCs w:val="28"/>
          <w:lang w:val="en-US" w:eastAsia="zh-CN"/>
        </w:rPr>
        <w:t>2021年债券资金</w:t>
      </w:r>
      <w:r>
        <w:rPr>
          <w:rFonts w:hint="eastAsia" w:ascii="宋体" w:hAnsi="宋体" w:eastAsia="宋体" w:cs="宋体"/>
          <w:color w:val="000000"/>
          <w:sz w:val="28"/>
          <w:szCs w:val="28"/>
        </w:rPr>
        <w:t>付息率100%。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3、项目实施效果及群众满意度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（1）项目使用效果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0" w:leftChars="0"/>
        <w:textAlignment w:val="auto"/>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①设施设备利用率100%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0" w:leftChars="0"/>
        <w:textAlignment w:val="auto"/>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②设施设备正常运行。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b/>
          <w:bCs/>
          <w:color w:val="000000"/>
          <w:sz w:val="28"/>
          <w:szCs w:val="28"/>
          <w:lang w:val="en-US" w:eastAsia="zh-CN"/>
        </w:rPr>
        <w:t>（2）</w:t>
      </w:r>
      <w:r>
        <w:rPr>
          <w:rFonts w:hint="eastAsia" w:ascii="宋体" w:hAnsi="宋体" w:eastAsia="宋体" w:cs="宋体"/>
          <w:color w:val="000000"/>
          <w:sz w:val="28"/>
          <w:szCs w:val="28"/>
          <w:lang w:val="en-US" w:eastAsia="zh-CN"/>
        </w:rPr>
        <w:t>经济效益：</w:t>
      </w:r>
      <w:r>
        <w:rPr>
          <w:rFonts w:hint="eastAsia" w:ascii="宋体" w:hAnsi="宋体" w:eastAsia="宋体" w:cs="宋体"/>
          <w:b w:val="0"/>
          <w:bCs w:val="0"/>
          <w:color w:val="000000"/>
          <w:sz w:val="28"/>
          <w:szCs w:val="28"/>
          <w:highlight w:val="none"/>
          <w:lang w:val="en-US" w:eastAsia="zh-CN"/>
        </w:rPr>
        <w:t>污水处理收入比项目实施前增加。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（3）社会效益：群众满意度高，社会反馈良好。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（4）环境影响：符合节能减排要求，环保部门验收合格。</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（5）可持续性：国家重点支持项目，有专业团队管理，有固定的收入来源。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（6）社会资本投入：带动社会资本有效投资。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color w:val="000000"/>
          <w:sz w:val="28"/>
          <w:szCs w:val="28"/>
          <w:lang w:val="en-US" w:eastAsia="zh-CN"/>
        </w:rPr>
        <w:t>（7）社会公众及运营单位职工对项目建设规模及质量</w:t>
      </w:r>
      <w:r>
        <w:rPr>
          <w:rFonts w:hint="eastAsia" w:ascii="宋体" w:hAnsi="宋体" w:eastAsia="宋体" w:cs="宋体"/>
          <w:sz w:val="28"/>
          <w:szCs w:val="28"/>
        </w:rPr>
        <w:t>满意度9</w:t>
      </w:r>
      <w:r>
        <w:rPr>
          <w:rFonts w:hint="eastAsia" w:ascii="宋体" w:hAnsi="宋体" w:eastAsia="宋体" w:cs="宋体"/>
          <w:sz w:val="28"/>
          <w:szCs w:val="28"/>
          <w:lang w:val="en-US" w:eastAsia="zh-CN"/>
        </w:rPr>
        <w:t>0</w:t>
      </w:r>
      <w:r>
        <w:rPr>
          <w:rFonts w:hint="eastAsia" w:ascii="宋体" w:hAnsi="宋体" w:eastAsia="宋体" w:cs="宋体"/>
          <w:sz w:val="28"/>
          <w:szCs w:val="28"/>
        </w:rPr>
        <w:t>%以上</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left="0" w:leftChars="0"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绩效评价工作情况</w:t>
      </w:r>
    </w:p>
    <w:p>
      <w:pPr>
        <w:keepNext w:val="0"/>
        <w:keepLines w:val="0"/>
        <w:pageBreakBefore w:val="0"/>
        <w:widowControl w:val="0"/>
        <w:kinsoku/>
        <w:wordWrap/>
        <w:overflowPunct/>
        <w:topLinePunct w:val="0"/>
        <w:autoSpaceDE/>
        <w:autoSpaceDN/>
        <w:bidi w:val="0"/>
        <w:snapToGrid/>
        <w:spacing w:line="520" w:lineRule="exact"/>
        <w:ind w:firstLine="422" w:firstLineChars="15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（一）绩效评价目的</w:t>
      </w:r>
    </w:p>
    <w:p>
      <w:pPr>
        <w:keepNext w:val="0"/>
        <w:keepLines w:val="0"/>
        <w:pageBreakBefore w:val="0"/>
        <w:widowControl w:val="0"/>
        <w:kinsoku/>
        <w:wordWrap/>
        <w:overflowPunct/>
        <w:topLinePunct w:val="0"/>
        <w:autoSpaceDE/>
        <w:autoSpaceDN/>
        <w:bidi w:val="0"/>
        <w:snapToGrid/>
        <w:spacing w:line="520" w:lineRule="exact"/>
        <w:ind w:firstLine="420" w:firstLineChars="15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根据项目所设定的绩效目标，评价项目的产出、效果和管理情况等。通过评价，了解政府专项债券资金“借、用、管、还”全生命周期管理情况，提升债务管理水平。进一步加强政府专项债券项目资金管理，提高债券资金使用效益，有效防范政府债务风险，促进项目的可持续性。</w:t>
      </w:r>
    </w:p>
    <w:p>
      <w:pPr>
        <w:keepNext w:val="0"/>
        <w:keepLines w:val="0"/>
        <w:pageBreakBefore w:val="0"/>
        <w:widowControl w:val="0"/>
        <w:kinsoku/>
        <w:wordWrap/>
        <w:overflowPunct/>
        <w:topLinePunct w:val="0"/>
        <w:autoSpaceDE/>
        <w:autoSpaceDN/>
        <w:bidi w:val="0"/>
        <w:snapToGrid/>
        <w:spacing w:line="520" w:lineRule="exact"/>
        <w:ind w:firstLine="420" w:firstLineChars="150"/>
        <w:textAlignment w:val="auto"/>
        <w:rPr>
          <w:rFonts w:hint="eastAsia" w:ascii="宋体"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snapToGrid/>
        <w:spacing w:line="520" w:lineRule="exact"/>
        <w:ind w:firstLine="422" w:firstLineChars="15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（二）绩效评价对象、内容、范围及时段</w:t>
      </w:r>
    </w:p>
    <w:p>
      <w:pPr>
        <w:keepNext w:val="0"/>
        <w:keepLines w:val="0"/>
        <w:pageBreakBefore w:val="0"/>
        <w:widowControl w:val="0"/>
        <w:kinsoku/>
        <w:wordWrap/>
        <w:overflowPunct/>
        <w:topLinePunct w:val="0"/>
        <w:autoSpaceDE/>
        <w:autoSpaceDN/>
        <w:bidi w:val="0"/>
        <w:snapToGrid/>
        <w:spacing w:line="52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1、评价对象：</w:t>
      </w:r>
    </w:p>
    <w:p>
      <w:pPr>
        <w:keepNext w:val="0"/>
        <w:keepLines w:val="0"/>
        <w:pageBreakBefore w:val="0"/>
        <w:widowControl w:val="0"/>
        <w:kinsoku/>
        <w:wordWrap/>
        <w:overflowPunct/>
        <w:topLinePunct w:val="0"/>
        <w:autoSpaceDE/>
        <w:autoSpaceDN/>
        <w:bidi w:val="0"/>
        <w:snapToGrid/>
        <w:spacing w:line="520" w:lineRule="exact"/>
        <w:ind w:firstLine="420" w:firstLineChars="15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本项目建设期投入专项债券资金及自筹资金共计11155.13万元。</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2、评价范围及时段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bCs/>
          <w:i w:val="0"/>
          <w:caps w:val="0"/>
          <w:color w:val="333333"/>
          <w:spacing w:val="0"/>
          <w:sz w:val="28"/>
          <w:szCs w:val="28"/>
          <w:shd w:val="clear" w:color="auto" w:fill="FFFFFF"/>
          <w:lang w:val="en-US" w:eastAsia="zh-CN"/>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w:t>
      </w:r>
      <w:r>
        <w:rPr>
          <w:rFonts w:hint="eastAsia" w:ascii="宋体" w:hAnsi="宋体" w:eastAsia="宋体" w:cs="宋体"/>
          <w:sz w:val="28"/>
          <w:szCs w:val="28"/>
          <w:lang w:val="en-US" w:eastAsia="zh-CN"/>
        </w:rPr>
        <w:t>4</w:t>
      </w:r>
      <w:r>
        <w:rPr>
          <w:rFonts w:hint="eastAsia" w:ascii="宋体" w:hAnsi="宋体" w:eastAsia="宋体" w:cs="宋体"/>
          <w:sz w:val="28"/>
          <w:szCs w:val="28"/>
        </w:rPr>
        <w:t>月—20</w:t>
      </w:r>
      <w:r>
        <w:rPr>
          <w:rFonts w:hint="eastAsia" w:ascii="宋体" w:hAnsi="宋体" w:eastAsia="宋体" w:cs="宋体"/>
          <w:sz w:val="28"/>
          <w:szCs w:val="28"/>
          <w:lang w:val="en-US" w:eastAsia="zh-CN"/>
        </w:rPr>
        <w:t>20</w:t>
      </w:r>
      <w:r>
        <w:rPr>
          <w:rFonts w:hint="eastAsia" w:ascii="宋体" w:hAnsi="宋体" w:eastAsia="宋体" w:cs="宋体"/>
          <w:sz w:val="28"/>
          <w:szCs w:val="28"/>
        </w:rPr>
        <w:t>年</w:t>
      </w:r>
      <w:r>
        <w:rPr>
          <w:rFonts w:hint="eastAsia" w:ascii="宋体" w:hAnsi="宋体" w:eastAsia="宋体" w:cs="宋体"/>
          <w:sz w:val="28"/>
          <w:szCs w:val="28"/>
          <w:lang w:val="en-US" w:eastAsia="zh-CN"/>
        </w:rPr>
        <w:t>12</w:t>
      </w:r>
      <w:r>
        <w:rPr>
          <w:rFonts w:hint="eastAsia" w:ascii="宋体" w:hAnsi="宋体" w:eastAsia="宋体" w:cs="宋体"/>
          <w:sz w:val="28"/>
          <w:szCs w:val="28"/>
        </w:rPr>
        <w:t>月</w:t>
      </w:r>
      <w:r>
        <w:rPr>
          <w:rFonts w:hint="eastAsia" w:ascii="宋体" w:hAnsi="宋体" w:eastAsia="宋体" w:cs="宋体"/>
          <w:sz w:val="28"/>
          <w:szCs w:val="28"/>
          <w:lang w:val="en-US" w:eastAsia="zh-CN"/>
        </w:rPr>
        <w:t>项目建设期。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50"/>
        <w:textAlignment w:val="auto"/>
        <w:rPr>
          <w:rFonts w:hint="eastAsia" w:ascii="宋体" w:hAnsi="宋体" w:eastAsia="宋体" w:cs="宋体"/>
          <w:b/>
          <w:bCs/>
          <w:i w:val="0"/>
          <w:caps w:val="0"/>
          <w:color w:val="333333"/>
          <w:spacing w:val="0"/>
          <w:sz w:val="28"/>
          <w:szCs w:val="28"/>
          <w:shd w:val="clear" w:color="auto" w:fill="FFFFFF"/>
          <w:lang w:val="en-US" w:eastAsia="zh-CN"/>
        </w:rPr>
      </w:pPr>
      <w:r>
        <w:rPr>
          <w:rFonts w:hint="eastAsia" w:ascii="宋体" w:hAnsi="宋体" w:eastAsia="宋体" w:cs="宋体"/>
          <w:b/>
          <w:bCs/>
          <w:sz w:val="28"/>
          <w:szCs w:val="28"/>
          <w:lang w:val="en-US" w:eastAsia="zh-CN"/>
        </w:rPr>
        <w:t>3、评价主要内容：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因本项目资金用途为根据</w:t>
      </w:r>
      <w:r>
        <w:rPr>
          <w:rFonts w:hint="eastAsia" w:ascii="宋体" w:hAnsi="宋体" w:eastAsia="宋体" w:cs="宋体"/>
          <w:sz w:val="28"/>
          <w:szCs w:val="28"/>
          <w:lang w:eastAsia="zh-CN"/>
        </w:rPr>
        <w:t>《</w:t>
      </w:r>
      <w:r>
        <w:rPr>
          <w:rFonts w:hint="eastAsia" w:ascii="宋体" w:hAnsi="宋体" w:eastAsia="宋体" w:cs="宋体"/>
          <w:sz w:val="28"/>
          <w:szCs w:val="28"/>
        </w:rPr>
        <w:t>地方政府专项债券项目资金绩效管理办法</w:t>
      </w:r>
      <w:r>
        <w:rPr>
          <w:rFonts w:hint="eastAsia" w:ascii="宋体" w:hAnsi="宋体" w:eastAsia="宋体" w:cs="宋体"/>
          <w:sz w:val="28"/>
          <w:szCs w:val="28"/>
          <w:lang w:eastAsia="zh-CN"/>
        </w:rPr>
        <w:t>》（</w:t>
      </w:r>
      <w:r>
        <w:rPr>
          <w:rFonts w:hint="eastAsia" w:ascii="宋体" w:hAnsi="宋体" w:eastAsia="宋体" w:cs="宋体"/>
          <w:sz w:val="28"/>
          <w:szCs w:val="28"/>
        </w:rPr>
        <w:t>财预〔2021〕61号</w:t>
      </w:r>
      <w:r>
        <w:rPr>
          <w:rFonts w:hint="eastAsia" w:ascii="宋体" w:hAnsi="宋体" w:eastAsia="宋体" w:cs="宋体"/>
          <w:sz w:val="28"/>
          <w:szCs w:val="28"/>
          <w:lang w:eastAsia="zh-CN"/>
        </w:rPr>
        <w:t>）“</w:t>
      </w:r>
      <w:r>
        <w:rPr>
          <w:rFonts w:hint="eastAsia" w:ascii="宋体" w:hAnsi="宋体" w:eastAsia="宋体" w:cs="宋体"/>
          <w:sz w:val="28"/>
          <w:szCs w:val="28"/>
        </w:rPr>
        <w:t>项目建设期绩效评价侧重项目决策、管理和产出等，运营期绩效评价侧重项目产出和效益等</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规定，所以本次评价主要内容</w:t>
      </w:r>
      <w:r>
        <w:rPr>
          <w:rFonts w:hint="eastAsia" w:ascii="宋体" w:hAnsi="宋体" w:eastAsia="宋体" w:cs="宋体"/>
          <w:sz w:val="28"/>
          <w:szCs w:val="28"/>
        </w:rPr>
        <w:t>侧重项目决策、管理</w:t>
      </w:r>
      <w:r>
        <w:rPr>
          <w:rFonts w:hint="eastAsia" w:ascii="宋体" w:hAnsi="宋体" w:eastAsia="宋体" w:cs="宋体"/>
          <w:sz w:val="28"/>
          <w:szCs w:val="28"/>
          <w:lang w:eastAsia="zh-CN"/>
        </w:rPr>
        <w:t>、</w:t>
      </w:r>
      <w:r>
        <w:rPr>
          <w:rFonts w:hint="eastAsia" w:ascii="宋体" w:hAnsi="宋体" w:eastAsia="宋体" w:cs="宋体"/>
          <w:sz w:val="28"/>
          <w:szCs w:val="28"/>
        </w:rPr>
        <w:t>产出</w:t>
      </w:r>
      <w:r>
        <w:rPr>
          <w:rFonts w:hint="eastAsia" w:ascii="宋体" w:hAnsi="宋体" w:eastAsia="宋体" w:cs="宋体"/>
          <w:sz w:val="28"/>
          <w:szCs w:val="28"/>
          <w:lang w:val="en-US" w:eastAsia="zh-CN"/>
        </w:rPr>
        <w:t>及</w:t>
      </w:r>
      <w:r>
        <w:rPr>
          <w:rFonts w:hint="eastAsia" w:ascii="宋体" w:hAnsi="宋体" w:eastAsia="宋体" w:cs="宋体"/>
          <w:sz w:val="28"/>
          <w:szCs w:val="28"/>
        </w:rPr>
        <w:t>项目</w:t>
      </w:r>
      <w:r>
        <w:rPr>
          <w:rFonts w:hint="eastAsia" w:ascii="宋体" w:hAnsi="宋体" w:eastAsia="宋体" w:cs="宋体"/>
          <w:sz w:val="28"/>
          <w:szCs w:val="28"/>
          <w:lang w:val="en-US" w:eastAsia="zh-CN"/>
        </w:rPr>
        <w:t>使用效果。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绩效评价依据</w:t>
      </w:r>
    </w:p>
    <w:p>
      <w:pPr>
        <w:keepNext w:val="0"/>
        <w:keepLines w:val="0"/>
        <w:pageBreakBefore w:val="0"/>
        <w:widowControl w:val="0"/>
        <w:numPr>
          <w:ilvl w:val="0"/>
          <w:numId w:val="9"/>
        </w:numPr>
        <w:kinsoku/>
        <w:wordWrap/>
        <w:overflowPunct/>
        <w:topLinePunct w:val="0"/>
        <w:autoSpaceDE/>
        <w:autoSpaceDN/>
        <w:bidi w:val="0"/>
        <w:snapToGrid/>
        <w:spacing w:line="520" w:lineRule="exact"/>
        <w:ind w:firstLine="422" w:firstLineChars="150"/>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绩效管理相关依据。</w:t>
      </w:r>
      <w:r>
        <w:rPr>
          <w:rFonts w:hint="eastAsia" w:ascii="宋体" w:hAnsi="宋体" w:eastAsia="宋体" w:cs="宋体"/>
          <w:sz w:val="28"/>
          <w:szCs w:val="28"/>
        </w:rPr>
        <w:t>财政部《项目支出绩效评价管理办法》（财预〔2020〕10号）、《中共湖南省委办公厅 湖南省人民政府办公厅关于全面实施预算绩效管理的实施意见》（湘办发〔2019〕10号）、《湖南省预算支出绩效评价管理办法的通知》（湘财绩〔2020〕7号）等相关文件规定。</w:t>
      </w:r>
    </w:p>
    <w:p>
      <w:pPr>
        <w:keepNext w:val="0"/>
        <w:keepLines w:val="0"/>
        <w:pageBreakBefore w:val="0"/>
        <w:widowControl w:val="0"/>
        <w:numPr>
          <w:ilvl w:val="0"/>
          <w:numId w:val="9"/>
        </w:numPr>
        <w:kinsoku/>
        <w:wordWrap/>
        <w:overflowPunct/>
        <w:topLinePunct w:val="0"/>
        <w:autoSpaceDE/>
        <w:autoSpaceDN/>
        <w:bidi w:val="0"/>
        <w:snapToGrid/>
        <w:spacing w:line="520" w:lineRule="exact"/>
        <w:ind w:firstLine="422" w:firstLineChars="150"/>
        <w:textAlignment w:val="auto"/>
        <w:rPr>
          <w:rFonts w:hint="eastAsia" w:ascii="宋体" w:hAnsi="宋体" w:eastAsia="宋体" w:cs="宋体"/>
          <w:sz w:val="28"/>
          <w:szCs w:val="28"/>
        </w:rPr>
      </w:pPr>
      <w:r>
        <w:rPr>
          <w:rFonts w:hint="eastAsia" w:ascii="宋体" w:hAnsi="宋体" w:eastAsia="宋体" w:cs="宋体"/>
          <w:b/>
          <w:bCs/>
          <w:sz w:val="28"/>
          <w:szCs w:val="28"/>
        </w:rPr>
        <w:t>政府专项债券资金管理相关文件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《湖南省政府债务项目绩效管理暂行办法》（湘财绩〔2020〕12号）、《湖南省政府专项债券管理暂行办法》（湘财债管〔</w:t>
      </w:r>
      <w:r>
        <w:rPr>
          <w:rFonts w:hint="eastAsia" w:ascii="宋体" w:hAnsi="宋体" w:eastAsia="宋体" w:cs="宋体"/>
          <w:spacing w:val="-6"/>
          <w:sz w:val="28"/>
          <w:szCs w:val="28"/>
        </w:rPr>
        <w:t>2021</w:t>
      </w:r>
      <w:r>
        <w:rPr>
          <w:rFonts w:hint="eastAsia" w:ascii="宋体" w:hAnsi="宋体" w:eastAsia="宋体" w:cs="宋体"/>
          <w:sz w:val="28"/>
          <w:szCs w:val="28"/>
        </w:rPr>
        <w:t>〕18号）《地方政府专项债券项目资金绩效管理办法》（财预〔2021〕61号）等文件，以及其他相关政府债务资金管理文件和法律法规等。</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562"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3、行业相关建设标准和技术规范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《建筑法》《环境保护法》《产品质量法》《建设工程质量管理条例》等相关法律、法规、规章的规定以及国家或湖南省对工程建设的强制性要求，</w:t>
      </w:r>
      <w:r>
        <w:rPr>
          <w:rFonts w:hint="eastAsia" w:ascii="宋体" w:hAnsi="宋体" w:eastAsia="宋体" w:cs="宋体"/>
          <w:color w:val="auto"/>
          <w:sz w:val="28"/>
          <w:szCs w:val="28"/>
          <w:highlight w:val="none"/>
          <w:lang w:val="en-US" w:eastAsia="zh-CN"/>
        </w:rPr>
        <w:t>相关行业政策、行业标准及专业技术规范。</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4、项目建设相关资料</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sz w:val="28"/>
          <w:szCs w:val="28"/>
          <w:lang w:val="en-US" w:eastAsia="zh-CN"/>
        </w:rPr>
        <w:t>项目可行性研究报告、立项批复、项目绩效目标及报告、预期收益与融资平衡方案、</w:t>
      </w:r>
      <w:r>
        <w:rPr>
          <w:rFonts w:hint="eastAsia" w:ascii="宋体" w:hAnsi="宋体" w:eastAsia="宋体" w:cs="宋体"/>
          <w:b w:val="0"/>
          <w:bCs w:val="0"/>
          <w:color w:val="auto"/>
          <w:sz w:val="28"/>
          <w:szCs w:val="28"/>
          <w:highlight w:val="none"/>
          <w:lang w:val="en-US" w:eastAsia="zh-CN"/>
        </w:rPr>
        <w:t>工作总结、项目相关合同及协议等</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b w:val="0"/>
          <w:bCs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（四）绩效评价原则、指标评价体系、评价方法</w:t>
      </w:r>
    </w:p>
    <w:p>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宋体" w:hAnsi="宋体" w:eastAsia="宋体" w:cs="宋体"/>
          <w:b w:val="0"/>
          <w:bCs w:val="0"/>
          <w:sz w:val="28"/>
          <w:szCs w:val="28"/>
          <w:lang w:eastAsia="zh-CN"/>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color w:val="auto"/>
          <w:sz w:val="28"/>
          <w:szCs w:val="28"/>
          <w:lang w:val="en-US" w:eastAsia="zh-CN"/>
        </w:rPr>
        <w:t>政府债券项目</w:t>
      </w:r>
      <w:r>
        <w:rPr>
          <w:rFonts w:hint="eastAsia" w:ascii="宋体" w:hAnsi="宋体" w:eastAsia="宋体" w:cs="宋体"/>
          <w:b/>
          <w:bCs/>
          <w:sz w:val="28"/>
          <w:szCs w:val="28"/>
        </w:rPr>
        <w:t>绩效评价原则</w:t>
      </w:r>
    </w:p>
    <w:p>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遵循注重绩效</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防患风险；科学规范，公开透明；权责对等，约束有力的原则</w:t>
      </w:r>
      <w:r>
        <w:rPr>
          <w:rFonts w:hint="eastAsia" w:ascii="宋体" w:hAnsi="宋体" w:eastAsia="宋体" w:cs="宋体"/>
          <w:b w:val="0"/>
          <w:bCs w:val="0"/>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560" w:leftChars="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2、项目</w:t>
      </w:r>
      <w:r>
        <w:rPr>
          <w:rFonts w:hint="eastAsia" w:ascii="宋体" w:hAnsi="宋体" w:eastAsia="宋体" w:cs="宋体"/>
          <w:b/>
          <w:bCs/>
          <w:sz w:val="28"/>
          <w:szCs w:val="28"/>
        </w:rPr>
        <w:t>支出绩效评价体系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指标体系包括共性指标和个性指标两部分，本次主要参照了</w:t>
      </w:r>
      <w:r>
        <w:rPr>
          <w:rFonts w:hint="eastAsia" w:ascii="宋体" w:hAnsi="宋体" w:eastAsia="宋体" w:cs="宋体"/>
          <w:b w:val="0"/>
          <w:bCs w:val="0"/>
          <w:sz w:val="28"/>
          <w:szCs w:val="28"/>
          <w:lang w:val="en-US" w:eastAsia="zh-CN"/>
        </w:rPr>
        <w:t>湖南省</w:t>
      </w:r>
      <w:r>
        <w:rPr>
          <w:rFonts w:hint="eastAsia" w:ascii="宋体" w:hAnsi="宋体" w:eastAsia="宋体" w:cs="宋体"/>
          <w:b w:val="0"/>
          <w:bCs w:val="0"/>
          <w:sz w:val="28"/>
          <w:szCs w:val="28"/>
        </w:rPr>
        <w:t>财政</w:t>
      </w:r>
      <w:r>
        <w:rPr>
          <w:rFonts w:hint="eastAsia" w:ascii="宋体" w:hAnsi="宋体" w:eastAsia="宋体" w:cs="宋体"/>
          <w:b w:val="0"/>
          <w:bCs w:val="0"/>
          <w:sz w:val="28"/>
          <w:szCs w:val="28"/>
          <w:lang w:val="en-US" w:eastAsia="zh-CN"/>
        </w:rPr>
        <w:t>厅印发</w:t>
      </w:r>
      <w:r>
        <w:rPr>
          <w:rFonts w:hint="eastAsia" w:ascii="宋体" w:hAnsi="宋体" w:eastAsia="宋体" w:cs="宋体"/>
          <w:b w:val="0"/>
          <w:bCs w:val="0"/>
          <w:sz w:val="28"/>
          <w:szCs w:val="28"/>
        </w:rPr>
        <w:t>的《</w:t>
      </w:r>
      <w:r>
        <w:rPr>
          <w:rFonts w:hint="eastAsia" w:ascii="宋体" w:hAnsi="宋体" w:eastAsia="宋体" w:cs="宋体"/>
          <w:b w:val="0"/>
          <w:bCs w:val="0"/>
          <w:sz w:val="28"/>
          <w:szCs w:val="28"/>
          <w:lang w:val="en-US" w:eastAsia="zh-CN"/>
        </w:rPr>
        <w:t>湖南省政府债务项目绩效管理暂行办法》附件中</w:t>
      </w:r>
      <w:r>
        <w:rPr>
          <w:rFonts w:hint="eastAsia" w:ascii="宋体" w:hAnsi="宋体" w:eastAsia="宋体" w:cs="宋体"/>
          <w:b w:val="0"/>
          <w:bCs w:val="0"/>
          <w:sz w:val="28"/>
          <w:szCs w:val="28"/>
          <w:highlight w:val="none"/>
          <w:lang w:val="en-US" w:eastAsia="zh-CN"/>
        </w:rPr>
        <w:t>“湖南省政府债券项目</w:t>
      </w:r>
      <w:r>
        <w:rPr>
          <w:rFonts w:hint="eastAsia" w:ascii="宋体" w:hAnsi="宋体" w:eastAsia="宋体" w:cs="宋体"/>
          <w:b w:val="0"/>
          <w:bCs w:val="0"/>
          <w:sz w:val="28"/>
          <w:szCs w:val="28"/>
          <w:highlight w:val="none"/>
        </w:rPr>
        <w:t>绩效评价指标</w:t>
      </w:r>
      <w:r>
        <w:rPr>
          <w:rFonts w:hint="eastAsia" w:ascii="宋体" w:hAnsi="宋体" w:eastAsia="宋体" w:cs="宋体"/>
          <w:b w:val="0"/>
          <w:bCs w:val="0"/>
          <w:sz w:val="28"/>
          <w:szCs w:val="28"/>
          <w:highlight w:val="none"/>
          <w:lang w:val="en-US" w:eastAsia="zh-CN"/>
        </w:rPr>
        <w:t>体系框架</w:t>
      </w:r>
      <w:r>
        <w:rPr>
          <w:rFonts w:hint="eastAsia" w:ascii="宋体" w:hAnsi="宋体" w:eastAsia="宋体" w:cs="宋体"/>
          <w:b w:val="0"/>
          <w:bCs w:val="0"/>
          <w:sz w:val="28"/>
          <w:szCs w:val="28"/>
          <w:highlight w:val="none"/>
          <w:lang w:eastAsia="zh-CN"/>
        </w:rPr>
        <w:t>”</w:t>
      </w:r>
      <w:r>
        <w:rPr>
          <w:rFonts w:hint="eastAsia" w:ascii="宋体" w:hAnsi="宋体" w:eastAsia="宋体" w:cs="宋体"/>
          <w:b w:val="0"/>
          <w:bCs w:val="0"/>
          <w:sz w:val="28"/>
          <w:szCs w:val="28"/>
          <w:highlight w:val="none"/>
        </w:rPr>
        <w:t>，</w:t>
      </w:r>
      <w:r>
        <w:rPr>
          <w:rFonts w:hint="eastAsia" w:ascii="宋体" w:hAnsi="宋体" w:eastAsia="宋体" w:cs="宋体"/>
          <w:b w:val="0"/>
          <w:bCs w:val="0"/>
          <w:sz w:val="28"/>
          <w:szCs w:val="28"/>
          <w:highlight w:val="none"/>
          <w:lang w:val="en-US" w:eastAsia="zh-CN"/>
        </w:rPr>
        <w:t>并</w:t>
      </w:r>
      <w:r>
        <w:rPr>
          <w:rFonts w:hint="eastAsia" w:ascii="宋体" w:hAnsi="宋体" w:eastAsia="宋体" w:cs="宋体"/>
          <w:b w:val="0"/>
          <w:bCs w:val="0"/>
          <w:sz w:val="28"/>
          <w:szCs w:val="28"/>
          <w:highlight w:val="none"/>
        </w:rPr>
        <w:t>根据部门具体情况</w:t>
      </w:r>
      <w:r>
        <w:rPr>
          <w:rFonts w:hint="eastAsia" w:ascii="宋体" w:hAnsi="宋体" w:eastAsia="宋体" w:cs="宋体"/>
          <w:b w:val="0"/>
          <w:bCs w:val="0"/>
          <w:sz w:val="28"/>
          <w:szCs w:val="28"/>
        </w:rPr>
        <w:t>对个性指标进行了调整细化</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本项目绩效评价一级指标包括</w:t>
      </w:r>
      <w:r>
        <w:rPr>
          <w:rFonts w:hint="eastAsia" w:ascii="宋体" w:hAnsi="宋体" w:eastAsia="宋体" w:cs="宋体"/>
          <w:b w:val="0"/>
          <w:bCs w:val="0"/>
          <w:sz w:val="28"/>
          <w:szCs w:val="28"/>
          <w:lang w:val="en-US" w:eastAsia="zh-CN"/>
        </w:rPr>
        <w:t>决策、过程、</w:t>
      </w:r>
      <w:r>
        <w:rPr>
          <w:rFonts w:hint="eastAsia" w:ascii="宋体" w:hAnsi="宋体" w:eastAsia="宋体" w:cs="宋体"/>
          <w:b w:val="0"/>
          <w:bCs w:val="0"/>
          <w:sz w:val="28"/>
          <w:szCs w:val="28"/>
        </w:rPr>
        <w:t>产出、效</w:t>
      </w:r>
      <w:r>
        <w:rPr>
          <w:rFonts w:hint="eastAsia" w:ascii="宋体" w:hAnsi="宋体" w:eastAsia="宋体" w:cs="宋体"/>
          <w:b w:val="0"/>
          <w:bCs w:val="0"/>
          <w:sz w:val="28"/>
          <w:szCs w:val="28"/>
          <w:lang w:val="en-US" w:eastAsia="zh-CN"/>
        </w:rPr>
        <w:t>益四</w:t>
      </w:r>
      <w:r>
        <w:rPr>
          <w:rFonts w:hint="eastAsia" w:ascii="宋体" w:hAnsi="宋体" w:eastAsia="宋体" w:cs="宋体"/>
          <w:b w:val="0"/>
          <w:bCs w:val="0"/>
          <w:sz w:val="28"/>
          <w:szCs w:val="28"/>
        </w:rPr>
        <w:t>个方面</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指标权重分别设置为</w:t>
      </w:r>
      <w:r>
        <w:rPr>
          <w:rFonts w:hint="eastAsia" w:ascii="宋体" w:hAnsi="宋体" w:eastAsia="宋体" w:cs="宋体"/>
          <w:b w:val="0"/>
          <w:bCs w:val="0"/>
          <w:sz w:val="28"/>
          <w:szCs w:val="28"/>
          <w:highlight w:val="none"/>
          <w:lang w:val="en-US" w:eastAsia="zh-CN"/>
        </w:rPr>
        <w:t>20%、30%、30%、20%</w:t>
      </w:r>
      <w:r>
        <w:rPr>
          <w:rFonts w:hint="eastAsia" w:ascii="宋体" w:hAnsi="宋体" w:eastAsia="宋体" w:cs="宋体"/>
          <w:b w:val="0"/>
          <w:bCs w:val="0"/>
          <w:sz w:val="28"/>
          <w:szCs w:val="28"/>
          <w:highlight w:val="none"/>
          <w:lang w:eastAsia="zh-CN"/>
        </w:rPr>
        <w:t>；</w:t>
      </w:r>
      <w:r>
        <w:rPr>
          <w:rFonts w:hint="eastAsia" w:ascii="宋体" w:hAnsi="宋体" w:eastAsia="宋体" w:cs="宋体"/>
          <w:b w:val="0"/>
          <w:bCs w:val="0"/>
          <w:sz w:val="28"/>
          <w:szCs w:val="28"/>
          <w:lang w:val="en-US" w:eastAsia="zh-CN"/>
        </w:rPr>
        <w:t>二级指标主要设置项目立项、绩效目标、资金投入、资金管理、项目实施、风险控制、产出数量、产出质量、产出时效、产出成本、项目效益等指标，根据项目特点在二级指标基础上细化三类指标38个，形成</w:t>
      </w:r>
      <w:r>
        <w:rPr>
          <w:rFonts w:hint="eastAsia" w:ascii="宋体" w:hAnsi="宋体" w:eastAsia="宋体" w:cs="宋体"/>
          <w:b w:val="0"/>
          <w:bCs w:val="0"/>
          <w:sz w:val="28"/>
          <w:szCs w:val="28"/>
        </w:rPr>
        <w:t>《</w:t>
      </w:r>
      <w:r>
        <w:rPr>
          <w:rFonts w:hint="eastAsia" w:ascii="宋体" w:hAnsi="宋体" w:eastAsia="宋体" w:cs="宋体"/>
          <w:b w:val="0"/>
          <w:bCs w:val="0"/>
          <w:sz w:val="28"/>
          <w:szCs w:val="28"/>
          <w:highlight w:val="none"/>
          <w:lang w:val="en-US" w:eastAsia="zh-CN"/>
        </w:rPr>
        <w:t>岳阳市云溪区长岭污水处理厂</w:t>
      </w:r>
      <w:r>
        <w:rPr>
          <w:rFonts w:hint="eastAsia" w:ascii="宋体" w:hAnsi="宋体" w:eastAsia="宋体" w:cs="宋体"/>
          <w:b w:val="0"/>
          <w:bCs w:val="0"/>
          <w:sz w:val="28"/>
          <w:szCs w:val="28"/>
          <w:lang w:val="en-US" w:eastAsia="zh-CN"/>
        </w:rPr>
        <w:t>债券资金建设项目</w:t>
      </w:r>
      <w:r>
        <w:rPr>
          <w:rFonts w:hint="eastAsia" w:ascii="宋体" w:hAnsi="宋体" w:eastAsia="宋体" w:cs="宋体"/>
          <w:b w:val="0"/>
          <w:bCs w:val="0"/>
          <w:sz w:val="28"/>
          <w:szCs w:val="28"/>
        </w:rPr>
        <w:t>绩效评价指标体系</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附件1)及《</w:t>
      </w:r>
      <w:r>
        <w:rPr>
          <w:rFonts w:hint="eastAsia" w:ascii="宋体" w:hAnsi="宋体" w:eastAsia="宋体" w:cs="宋体"/>
          <w:b w:val="0"/>
          <w:bCs w:val="0"/>
          <w:sz w:val="28"/>
          <w:szCs w:val="28"/>
          <w:highlight w:val="none"/>
          <w:lang w:val="en-US" w:eastAsia="zh-CN"/>
        </w:rPr>
        <w:t>岳阳市云溪区长岭污水处理厂</w:t>
      </w:r>
      <w:r>
        <w:rPr>
          <w:rFonts w:hint="eastAsia" w:ascii="宋体" w:hAnsi="宋体" w:eastAsia="宋体" w:cs="宋体"/>
          <w:b w:val="0"/>
          <w:bCs w:val="0"/>
          <w:sz w:val="28"/>
          <w:szCs w:val="28"/>
          <w:lang w:val="en-US" w:eastAsia="zh-CN"/>
        </w:rPr>
        <w:t>债券资金建设项目</w:t>
      </w:r>
      <w:r>
        <w:rPr>
          <w:rFonts w:hint="eastAsia" w:ascii="宋体" w:hAnsi="宋体" w:eastAsia="宋体" w:cs="宋体"/>
          <w:b w:val="0"/>
          <w:bCs w:val="0"/>
          <w:sz w:val="28"/>
          <w:szCs w:val="28"/>
        </w:rPr>
        <w:t>绩效评价</w:t>
      </w:r>
      <w:r>
        <w:rPr>
          <w:rFonts w:hint="eastAsia" w:ascii="宋体" w:hAnsi="宋体" w:eastAsia="宋体" w:cs="宋体"/>
          <w:b w:val="0"/>
          <w:bCs w:val="0"/>
          <w:sz w:val="28"/>
          <w:szCs w:val="28"/>
          <w:lang w:eastAsia="zh-CN"/>
        </w:rPr>
        <w:t>评分表</w:t>
      </w:r>
      <w:r>
        <w:rPr>
          <w:rFonts w:hint="eastAsia" w:ascii="宋体" w:hAnsi="宋体" w:eastAsia="宋体" w:cs="宋体"/>
          <w:b w:val="0"/>
          <w:bCs w:val="0"/>
          <w:sz w:val="28"/>
          <w:szCs w:val="28"/>
        </w:rPr>
        <w:t>》(附件2)。</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2、评分标准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绩效评价结果采取评分与评级相结合的方式，总分设置为100分，等级划分为四档：90（含）-100分为优、80（含）-90分为良、60（含）-80分为较差、60分以下为差。</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3</w:t>
      </w:r>
      <w:r>
        <w:rPr>
          <w:rFonts w:hint="eastAsia" w:ascii="宋体" w:hAnsi="宋体" w:eastAsia="宋体" w:cs="宋体"/>
          <w:b/>
          <w:bCs/>
          <w:sz w:val="28"/>
          <w:szCs w:val="28"/>
          <w:lang w:eastAsia="zh-CN"/>
        </w:rPr>
        <w:t>、</w:t>
      </w:r>
      <w:r>
        <w:rPr>
          <w:rFonts w:hint="eastAsia" w:ascii="宋体" w:hAnsi="宋体" w:eastAsia="宋体" w:cs="宋体"/>
          <w:b/>
          <w:bCs/>
          <w:sz w:val="28"/>
          <w:szCs w:val="28"/>
        </w:rPr>
        <w:t>绩效评价方法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本次绩效评价以核查、访谈座谈、问卷调查、实地核实为基础，综合运用比较法、因素分析法、公众评判法等开展绩效评价。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次绩效评价坚持定量优先、简便有效的原则，采用定性和定量相结合的评价办法，主要运用：一是比较法，将立项建设规模及内容或合同中的任务与实际完成产出比较，如将项目合同约定的建设内容与实际完成建设内容进行比较、将工程投资概算与实际完成投资进行比较、预期收益与融资平衡方案比较实施收益等；二是因素分析法，如对影响产出时效目标实现的因素进行分析，以正确区分责任；三是公众评判法，采取发放满意度调查问卷方式，调查社会公众对项目实施的满意程度，以此评价项目实施的效果。</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（五）整体支出绩效评价过程</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前期准备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按照绩效</w:t>
      </w:r>
      <w:r>
        <w:rPr>
          <w:rFonts w:hint="eastAsia" w:ascii="宋体" w:hAnsi="宋体" w:eastAsia="宋体" w:cs="宋体"/>
          <w:sz w:val="28"/>
          <w:szCs w:val="28"/>
          <w:lang w:eastAsia="zh-CN"/>
        </w:rPr>
        <w:t>评价</w:t>
      </w:r>
      <w:r>
        <w:rPr>
          <w:rFonts w:hint="eastAsia" w:ascii="宋体" w:hAnsi="宋体" w:eastAsia="宋体" w:cs="宋体"/>
          <w:sz w:val="28"/>
          <w:szCs w:val="28"/>
        </w:rPr>
        <w:t>工作要求，</w:t>
      </w:r>
      <w:r>
        <w:rPr>
          <w:rFonts w:hint="eastAsia" w:ascii="宋体" w:hAnsi="宋体" w:eastAsia="宋体" w:cs="宋体"/>
          <w:sz w:val="28"/>
          <w:szCs w:val="28"/>
          <w:lang w:val="en-US" w:eastAsia="zh-CN"/>
        </w:rPr>
        <w:t>我所</w:t>
      </w:r>
      <w:r>
        <w:rPr>
          <w:rFonts w:hint="eastAsia" w:ascii="宋体" w:hAnsi="宋体" w:eastAsia="宋体" w:cs="宋体"/>
          <w:sz w:val="28"/>
          <w:szCs w:val="28"/>
        </w:rPr>
        <w:t>组成</w:t>
      </w:r>
      <w:r>
        <w:rPr>
          <w:rFonts w:hint="eastAsia" w:ascii="宋体" w:hAnsi="宋体" w:eastAsia="宋体" w:cs="宋体"/>
          <w:sz w:val="28"/>
          <w:szCs w:val="28"/>
          <w:lang w:val="en-US" w:eastAsia="zh-CN"/>
        </w:rPr>
        <w:t>了</w:t>
      </w:r>
      <w:r>
        <w:rPr>
          <w:rFonts w:hint="eastAsia" w:ascii="宋体" w:hAnsi="宋体" w:eastAsia="宋体" w:cs="宋体"/>
          <w:sz w:val="28"/>
          <w:szCs w:val="28"/>
        </w:rPr>
        <w:t>以彭岳斌</w:t>
      </w:r>
      <w:r>
        <w:rPr>
          <w:rFonts w:hint="eastAsia" w:ascii="宋体" w:hAnsi="宋体" w:eastAsia="宋体" w:cs="宋体"/>
          <w:sz w:val="28"/>
          <w:szCs w:val="28"/>
          <w:lang w:val="en-US" w:eastAsia="zh-CN"/>
        </w:rPr>
        <w:t>所长</w:t>
      </w:r>
      <w:r>
        <w:rPr>
          <w:rFonts w:hint="eastAsia" w:ascii="宋体" w:hAnsi="宋体" w:eastAsia="宋体" w:cs="宋体"/>
          <w:sz w:val="28"/>
          <w:szCs w:val="28"/>
        </w:rPr>
        <w:t>为组长的绩效评价工作小组，</w:t>
      </w:r>
      <w:r>
        <w:rPr>
          <w:rFonts w:hint="eastAsia" w:ascii="宋体" w:hAnsi="宋体" w:eastAsia="宋体" w:cs="宋体"/>
          <w:sz w:val="28"/>
          <w:szCs w:val="28"/>
          <w:lang w:eastAsia="zh-CN"/>
        </w:rPr>
        <w:t>对小组成员明确了具体分工，</w:t>
      </w:r>
      <w:r>
        <w:rPr>
          <w:rFonts w:hint="eastAsia" w:ascii="宋体" w:hAnsi="宋体" w:eastAsia="宋体" w:cs="宋体"/>
          <w:b w:val="0"/>
          <w:bCs w:val="0"/>
          <w:sz w:val="28"/>
          <w:szCs w:val="28"/>
        </w:rPr>
        <w:t>制定了部门整体支出绩效评价实施方案，设计了绩效评价</w:t>
      </w:r>
      <w:r>
        <w:rPr>
          <w:rFonts w:hint="eastAsia" w:ascii="宋体" w:hAnsi="宋体" w:eastAsia="宋体" w:cs="宋体"/>
          <w:sz w:val="28"/>
          <w:szCs w:val="28"/>
        </w:rPr>
        <w:t>指标体系</w:t>
      </w:r>
      <w:r>
        <w:rPr>
          <w:rFonts w:hint="eastAsia" w:ascii="宋体" w:hAnsi="宋体" w:eastAsia="宋体" w:cs="宋体"/>
          <w:sz w:val="28"/>
          <w:szCs w:val="28"/>
          <w:lang w:eastAsia="zh-CN"/>
        </w:rPr>
        <w:t>、评分表及</w:t>
      </w:r>
      <w:r>
        <w:rPr>
          <w:rFonts w:hint="eastAsia" w:ascii="宋体" w:hAnsi="宋体" w:eastAsia="宋体" w:cs="宋体"/>
          <w:sz w:val="28"/>
          <w:szCs w:val="28"/>
        </w:rPr>
        <w:t>问卷调查表。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2、具体</w:t>
      </w:r>
      <w:r>
        <w:rPr>
          <w:rFonts w:hint="eastAsia" w:ascii="宋体" w:hAnsi="宋体" w:eastAsia="宋体" w:cs="宋体"/>
          <w:b/>
          <w:bCs/>
          <w:sz w:val="28"/>
          <w:szCs w:val="28"/>
        </w:rPr>
        <w:t>实施</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(1)收集资料，核实财务数据</w:t>
      </w:r>
      <w:r>
        <w:rPr>
          <w:rFonts w:hint="eastAsia" w:ascii="宋体" w:hAnsi="宋体" w:eastAsia="宋体" w:cs="宋体"/>
          <w:sz w:val="28"/>
          <w:szCs w:val="28"/>
          <w:lang w:val="en-US" w:eastAsia="zh-CN"/>
        </w:rPr>
        <w:t>。</w:t>
      </w:r>
      <w:r>
        <w:rPr>
          <w:rFonts w:hint="eastAsia" w:ascii="宋体" w:hAnsi="宋体" w:eastAsia="宋体" w:cs="宋体"/>
          <w:sz w:val="28"/>
          <w:szCs w:val="28"/>
        </w:rPr>
        <w:t>绩效评价工作小组</w:t>
      </w:r>
      <w:r>
        <w:rPr>
          <w:rFonts w:hint="eastAsia" w:ascii="宋体" w:hAnsi="宋体" w:eastAsia="宋体" w:cs="宋体"/>
          <w:sz w:val="28"/>
          <w:szCs w:val="28"/>
          <w:lang w:val="en-US" w:eastAsia="zh-CN"/>
        </w:rPr>
        <w:t>收集了项目可研报告及相关立项批复、项目合同、竣工验收备案表、专项债券申请报告、建设项目环境影响报告表的批复、施工图设计文件审查合格书等项目资料，内部管理制度、工程管理制度</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重点</w:t>
      </w:r>
      <w:r>
        <w:rPr>
          <w:rFonts w:hint="eastAsia" w:ascii="宋体" w:hAnsi="宋体" w:eastAsia="宋体" w:cs="宋体"/>
          <w:sz w:val="28"/>
          <w:szCs w:val="28"/>
        </w:rPr>
        <w:t>核</w:t>
      </w:r>
      <w:r>
        <w:rPr>
          <w:rFonts w:hint="eastAsia" w:ascii="宋体" w:hAnsi="宋体" w:eastAsia="宋体" w:cs="宋体"/>
          <w:sz w:val="28"/>
          <w:szCs w:val="28"/>
          <w:lang w:eastAsia="zh-CN"/>
        </w:rPr>
        <w:t>实</w:t>
      </w:r>
      <w:r>
        <w:rPr>
          <w:rFonts w:hint="eastAsia" w:ascii="宋体" w:hAnsi="宋体" w:eastAsia="宋体" w:cs="宋体"/>
          <w:sz w:val="28"/>
          <w:szCs w:val="28"/>
          <w:lang w:val="en-US" w:eastAsia="zh-CN"/>
        </w:rPr>
        <w:t>建设专项债券资金到帐情况、项目资金支出明细等，了解了运营期合同款支付情况、收入实现情况、债券资金还本付息情况。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(2)对绩效目标完成情况进行了重点核查。</w:t>
      </w:r>
      <w:r>
        <w:rPr>
          <w:rFonts w:hint="eastAsia" w:ascii="宋体" w:hAnsi="宋体" w:eastAsia="宋体" w:cs="宋体"/>
          <w:b w:val="0"/>
          <w:bCs w:val="0"/>
          <w:sz w:val="28"/>
          <w:szCs w:val="28"/>
          <w:lang w:val="en-US" w:eastAsia="zh-CN"/>
        </w:rPr>
        <w:t>逐项核查建设产出资产目标实现情况，包括项目建设期产出数量、质量、成本、时效及履约情况及预算、监督、组织、财务、制度、档案、信息公开、设计变更、安全文明施工、工程保险等管理情况；项目对经济、社会、生态环境等带来的影响情况，项目设施设备使用效率情况。</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（3）进行实地走访</w:t>
      </w:r>
      <w:r>
        <w:rPr>
          <w:rFonts w:hint="eastAsia" w:ascii="宋体" w:hAnsi="宋体" w:eastAsia="宋体" w:cs="宋体"/>
          <w:b w:val="0"/>
          <w:bCs w:val="0"/>
          <w:sz w:val="28"/>
          <w:szCs w:val="28"/>
          <w:lang w:val="en-US" w:eastAsia="zh-CN"/>
        </w:rPr>
        <w:t>。2021年10月22日，在区城建投公司工作人员陪同下实地走访了长岭污水处理厂，重点走访长岭污水处理厂新建建筑工程，包括</w:t>
      </w:r>
      <w:r>
        <w:rPr>
          <w:rFonts w:hint="eastAsia" w:ascii="宋体" w:hAnsi="宋体" w:eastAsia="宋体" w:cs="宋体"/>
          <w:color w:val="000000"/>
          <w:sz w:val="28"/>
          <w:szCs w:val="28"/>
          <w:lang w:val="en-US" w:eastAsia="zh-CN"/>
        </w:rPr>
        <w:t>办公楼、机修间、值班室、鼓风机房、配电间、厂区道路、绿化、围墙、门卫和大门等附属配套设施建设情况；抽查AAO池、高效沉淀池、过滤池实际使用情况，污水处理能力达标情况；</w:t>
      </w:r>
      <w:r>
        <w:rPr>
          <w:rFonts w:hint="eastAsia" w:ascii="宋体" w:hAnsi="宋体" w:eastAsia="宋体" w:cs="宋体"/>
          <w:b w:val="0"/>
          <w:bCs w:val="0"/>
          <w:sz w:val="28"/>
          <w:szCs w:val="28"/>
          <w:lang w:val="en-US" w:eastAsia="zh-CN"/>
        </w:rPr>
        <w:t>建筑物及附属设施、污水收集工程设施及设备使用情况；废气、臭气排放情况；进水水质、出水水质达标排放记录，污水处理能力等。通过实地走访，新建污水处理厂建筑物及附属设施、污水收集工程设施及设备齐全，运行良好，</w:t>
      </w:r>
      <w:r>
        <w:rPr>
          <w:rFonts w:hint="eastAsia" w:ascii="宋体" w:hAnsi="宋体" w:eastAsia="宋体" w:cs="宋体"/>
          <w:color w:val="000000"/>
          <w:sz w:val="28"/>
          <w:szCs w:val="28"/>
          <w:lang w:val="en-US" w:eastAsia="zh-CN"/>
        </w:rPr>
        <w:t>AAO池、高效沉淀池、过滤池设施设备启用0.5万</w:t>
      </w:r>
      <w:r>
        <w:rPr>
          <w:rFonts w:hint="eastAsia" w:ascii="宋体" w:hAnsi="宋体" w:eastAsia="宋体" w:cs="宋体"/>
          <w:b w:val="0"/>
          <w:bCs w:val="0"/>
          <w:sz w:val="28"/>
          <w:szCs w:val="28"/>
          <w:lang w:val="en-US" w:eastAsia="zh-CN"/>
        </w:rPr>
        <w:t>m3/d配置，</w:t>
      </w:r>
      <w:r>
        <w:rPr>
          <w:rFonts w:hint="eastAsia" w:ascii="宋体" w:hAnsi="宋体" w:eastAsia="宋体" w:cs="宋体"/>
          <w:b w:val="0"/>
          <w:bCs w:val="0"/>
          <w:color w:val="auto"/>
          <w:sz w:val="28"/>
          <w:szCs w:val="28"/>
          <w:lang w:val="en-US" w:eastAsia="zh-CN"/>
        </w:rPr>
        <w:t>但实际污水处理规模未达标，约为</w:t>
      </w:r>
      <w:r>
        <w:rPr>
          <w:rFonts w:hint="eastAsia" w:ascii="宋体" w:hAnsi="宋体" w:eastAsia="宋体" w:cs="宋体"/>
          <w:color w:val="auto"/>
          <w:sz w:val="28"/>
          <w:szCs w:val="28"/>
          <w:lang w:val="en-US" w:eastAsia="zh-CN"/>
        </w:rPr>
        <w:t>0.18万</w:t>
      </w:r>
      <w:r>
        <w:rPr>
          <w:rFonts w:hint="eastAsia" w:ascii="宋体" w:hAnsi="宋体" w:eastAsia="宋体" w:cs="宋体"/>
          <w:b w:val="0"/>
          <w:bCs w:val="0"/>
          <w:color w:val="auto"/>
          <w:sz w:val="28"/>
          <w:szCs w:val="28"/>
          <w:lang w:val="en-US" w:eastAsia="zh-CN"/>
        </w:rPr>
        <w:t>m3/d。</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(4)开展</w:t>
      </w:r>
      <w:r>
        <w:rPr>
          <w:rFonts w:hint="eastAsia" w:ascii="宋体" w:hAnsi="宋体" w:eastAsia="宋体" w:cs="宋体"/>
          <w:b/>
          <w:bCs/>
          <w:sz w:val="28"/>
          <w:szCs w:val="28"/>
          <w:lang w:eastAsia="zh-CN"/>
        </w:rPr>
        <w:t>了</w:t>
      </w:r>
      <w:r>
        <w:rPr>
          <w:rFonts w:hint="eastAsia" w:ascii="宋体" w:hAnsi="宋体" w:eastAsia="宋体" w:cs="宋体"/>
          <w:b/>
          <w:bCs/>
          <w:sz w:val="28"/>
          <w:szCs w:val="28"/>
          <w:lang w:val="en-US" w:eastAsia="zh-CN"/>
        </w:rPr>
        <w:t>问卷调查。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lang w:val="en-US" w:eastAsia="zh-CN"/>
        </w:rPr>
        <w:t>2021年10月25</w:t>
      </w:r>
      <w:r>
        <w:rPr>
          <w:rFonts w:hint="eastAsia" w:ascii="宋体" w:hAnsi="宋体" w:eastAsia="宋体" w:cs="宋体"/>
          <w:b w:val="0"/>
          <w:bCs w:val="0"/>
          <w:color w:val="auto"/>
          <w:sz w:val="28"/>
          <w:szCs w:val="28"/>
          <w:lang w:val="en-US" w:eastAsia="zh-CN"/>
        </w:rPr>
        <w:t>日绩效评价人员对长岭污水处理厂运营工作人员进行了问卷调查。调查问卷共10题（</w:t>
      </w:r>
      <w:r>
        <w:rPr>
          <w:rFonts w:hint="eastAsia" w:ascii="宋体" w:hAnsi="宋体" w:eastAsia="宋体" w:cs="宋体"/>
          <w:b w:val="0"/>
          <w:bCs w:val="0"/>
          <w:sz w:val="28"/>
          <w:szCs w:val="28"/>
          <w:highlight w:val="none"/>
          <w:lang w:val="en-US" w:eastAsia="zh-CN"/>
        </w:rPr>
        <w:t>见附件），主要是调查项目建设产出的建筑、设施及设备在运营中满意度，</w:t>
      </w:r>
      <w:r>
        <w:rPr>
          <w:rFonts w:hint="eastAsia" w:ascii="宋体" w:hAnsi="宋体" w:eastAsia="宋体" w:cs="宋体"/>
          <w:b w:val="0"/>
          <w:bCs w:val="0"/>
          <w:color w:val="auto"/>
          <w:sz w:val="28"/>
          <w:szCs w:val="28"/>
          <w:lang w:val="en-US" w:eastAsia="zh-CN"/>
        </w:rPr>
        <w:t>发放微信扫码电子调查问卷10份,回收6份，</w:t>
      </w:r>
      <w:r>
        <w:rPr>
          <w:rFonts w:hint="eastAsia" w:ascii="宋体" w:hAnsi="宋体" w:eastAsia="宋体" w:cs="宋体"/>
          <w:b w:val="0"/>
          <w:bCs w:val="0"/>
          <w:sz w:val="28"/>
          <w:szCs w:val="28"/>
          <w:highlight w:val="none"/>
          <w:lang w:val="en-US" w:eastAsia="zh-CN"/>
        </w:rPr>
        <w:t>回收率60%（原因，污水处理厂正常工作人员为6人）。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调查结果</w:t>
      </w:r>
      <w:r>
        <w:rPr>
          <w:rFonts w:hint="eastAsia" w:ascii="宋体" w:hAnsi="宋体" w:eastAsia="宋体" w:cs="宋体"/>
          <w:b w:val="0"/>
          <w:bCs w:val="0"/>
          <w:color w:val="auto"/>
          <w:sz w:val="28"/>
          <w:szCs w:val="28"/>
          <w:highlight w:val="none"/>
          <w:lang w:val="en-US" w:eastAsia="zh-CN"/>
        </w:rPr>
        <w:t>按加权平均得出综合满意度结果（满意占100%、基本满意占60%，不满意为0%）经统计：</w:t>
      </w:r>
      <w:r>
        <w:rPr>
          <w:rFonts w:hint="eastAsia" w:ascii="宋体" w:hAnsi="宋体" w:eastAsia="宋体" w:cs="宋体"/>
          <w:b w:val="0"/>
          <w:bCs w:val="0"/>
          <w:color w:val="auto"/>
          <w:sz w:val="28"/>
          <w:szCs w:val="28"/>
          <w:lang w:val="en-US" w:eastAsia="zh-CN"/>
        </w:rPr>
        <w:t>问卷调查结果得分为85分，满意度高。根据问卷调查结果，满意度较高的是：”污水处理是否达到24小时运行、所有在线监测监控装置是否运行正常“；得分相对较低的是”污水处理量10000立方米/天是否达标”。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lang w:val="en-US" w:eastAsia="zh-CN"/>
        </w:rPr>
        <w:t>3、</w:t>
      </w:r>
      <w:r>
        <w:rPr>
          <w:rFonts w:hint="eastAsia" w:ascii="宋体" w:hAnsi="宋体" w:eastAsia="宋体" w:cs="宋体"/>
          <w:b/>
          <w:bCs w:val="0"/>
          <w:color w:val="auto"/>
          <w:sz w:val="28"/>
          <w:szCs w:val="28"/>
        </w:rPr>
        <w:t>分析评价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绩效评价小组</w:t>
      </w:r>
      <w:r>
        <w:rPr>
          <w:rFonts w:hint="eastAsia" w:ascii="宋体" w:hAnsi="宋体" w:eastAsia="宋体" w:cs="宋体"/>
          <w:sz w:val="28"/>
          <w:szCs w:val="28"/>
        </w:rPr>
        <w:t>对评价过程中收集的财务数据、</w:t>
      </w:r>
      <w:r>
        <w:rPr>
          <w:rFonts w:hint="eastAsia" w:ascii="宋体" w:hAnsi="宋体" w:eastAsia="宋体" w:cs="宋体"/>
          <w:sz w:val="28"/>
          <w:szCs w:val="28"/>
          <w:lang w:val="en-US" w:eastAsia="zh-CN"/>
        </w:rPr>
        <w:t>项目资料</w:t>
      </w:r>
      <w:r>
        <w:rPr>
          <w:rFonts w:hint="eastAsia" w:ascii="宋体" w:hAnsi="宋体" w:eastAsia="宋体" w:cs="宋体"/>
          <w:sz w:val="28"/>
          <w:szCs w:val="28"/>
        </w:rPr>
        <w:t>进行了</w:t>
      </w:r>
      <w:r>
        <w:rPr>
          <w:rFonts w:hint="eastAsia" w:ascii="宋体" w:hAnsi="宋体" w:eastAsia="宋体" w:cs="宋体"/>
          <w:sz w:val="28"/>
          <w:szCs w:val="28"/>
          <w:lang w:val="en-US" w:eastAsia="zh-CN"/>
        </w:rPr>
        <w:t>分析、</w:t>
      </w:r>
      <w:r>
        <w:rPr>
          <w:rFonts w:hint="eastAsia" w:ascii="宋体" w:hAnsi="宋体" w:eastAsia="宋体" w:cs="宋体"/>
          <w:sz w:val="28"/>
          <w:szCs w:val="28"/>
        </w:rPr>
        <w:t>归纳和汇总</w:t>
      </w:r>
      <w:r>
        <w:rPr>
          <w:rFonts w:hint="eastAsia" w:ascii="宋体" w:hAnsi="宋体" w:eastAsia="宋体" w:cs="宋体"/>
          <w:sz w:val="28"/>
          <w:szCs w:val="28"/>
          <w:lang w:eastAsia="zh-CN"/>
        </w:rPr>
        <w:t>，</w:t>
      </w:r>
      <w:r>
        <w:rPr>
          <w:rFonts w:hint="eastAsia" w:ascii="宋体" w:hAnsi="宋体" w:eastAsia="宋体" w:cs="宋体"/>
          <w:sz w:val="28"/>
          <w:szCs w:val="28"/>
        </w:rPr>
        <w:t>依据设定的绩效评价指标体系，</w:t>
      </w:r>
      <w:r>
        <w:rPr>
          <w:rFonts w:hint="eastAsia" w:ascii="宋体" w:hAnsi="宋体" w:eastAsia="宋体" w:cs="宋体"/>
          <w:sz w:val="28"/>
          <w:szCs w:val="28"/>
          <w:lang w:val="en-US" w:eastAsia="zh-CN"/>
        </w:rPr>
        <w:t>重点对</w:t>
      </w:r>
      <w:r>
        <w:rPr>
          <w:rFonts w:hint="eastAsia" w:ascii="宋体" w:hAnsi="宋体" w:eastAsia="宋体" w:cs="宋体"/>
          <w:sz w:val="28"/>
          <w:szCs w:val="28"/>
        </w:rPr>
        <w:t>对</w:t>
      </w:r>
      <w:r>
        <w:rPr>
          <w:rFonts w:hint="eastAsia" w:ascii="宋体" w:hAnsi="宋体" w:eastAsia="宋体" w:cs="宋体"/>
          <w:sz w:val="28"/>
          <w:szCs w:val="28"/>
          <w:lang w:val="en-US" w:eastAsia="zh-CN"/>
        </w:rPr>
        <w:t>项目决策、过程、产出、效果进行评价分析，通过综合分析、意见征询，形成客观、公正较全面的评价结论。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绩效评价报告</w:t>
      </w:r>
      <w:r>
        <w:rPr>
          <w:rFonts w:hint="eastAsia" w:ascii="宋体" w:hAnsi="宋体" w:eastAsia="宋体" w:cs="宋体"/>
          <w:b/>
          <w:bCs/>
          <w:sz w:val="28"/>
          <w:szCs w:val="28"/>
          <w:lang w:val="en-US" w:eastAsia="zh-CN"/>
        </w:rPr>
        <w:t>报送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绩效评价小组</w:t>
      </w:r>
      <w:r>
        <w:rPr>
          <w:rFonts w:hint="eastAsia" w:ascii="宋体" w:hAnsi="宋体" w:eastAsia="宋体" w:cs="宋体"/>
          <w:sz w:val="28"/>
          <w:szCs w:val="28"/>
        </w:rPr>
        <w:t>制订了</w:t>
      </w:r>
      <w:r>
        <w:rPr>
          <w:rFonts w:hint="eastAsia" w:ascii="宋体" w:hAnsi="宋体" w:eastAsia="宋体" w:cs="宋体"/>
          <w:sz w:val="28"/>
          <w:szCs w:val="28"/>
          <w:lang w:val="en-US" w:eastAsia="zh-CN"/>
        </w:rPr>
        <w:t>现场评价工作</w:t>
      </w:r>
      <w:r>
        <w:rPr>
          <w:rFonts w:hint="eastAsia" w:ascii="宋体" w:hAnsi="宋体" w:eastAsia="宋体" w:cs="宋体"/>
          <w:sz w:val="28"/>
          <w:szCs w:val="28"/>
        </w:rPr>
        <w:t>底稿，</w:t>
      </w:r>
      <w:r>
        <w:rPr>
          <w:rFonts w:hint="eastAsia" w:ascii="宋体" w:hAnsi="宋体" w:eastAsia="宋体" w:cs="宋体"/>
          <w:sz w:val="28"/>
          <w:szCs w:val="28"/>
          <w:lang w:val="en-US" w:eastAsia="zh-CN"/>
        </w:rPr>
        <w:t>向被评价单位发送了《承诺书》《现场评价回执》</w:t>
      </w:r>
      <w:r>
        <w:rPr>
          <w:rFonts w:hint="eastAsia" w:ascii="宋体" w:hAnsi="宋体" w:eastAsia="宋体" w:cs="宋体"/>
          <w:b w:val="0"/>
          <w:bCs w:val="0"/>
          <w:sz w:val="28"/>
          <w:szCs w:val="28"/>
        </w:rPr>
        <w:t>《</w:t>
      </w:r>
      <w:r>
        <w:rPr>
          <w:rFonts w:hint="eastAsia" w:ascii="宋体" w:hAnsi="宋体" w:eastAsia="宋体" w:cs="宋体"/>
          <w:b w:val="0"/>
          <w:bCs w:val="0"/>
          <w:sz w:val="28"/>
          <w:szCs w:val="28"/>
          <w:highlight w:val="none"/>
          <w:lang w:val="en-US" w:eastAsia="zh-CN"/>
        </w:rPr>
        <w:t>岳阳市云溪区长岭污水处理厂专项债券建设项目</w:t>
      </w:r>
      <w:r>
        <w:rPr>
          <w:rFonts w:hint="eastAsia" w:ascii="宋体" w:hAnsi="宋体" w:eastAsia="宋体" w:cs="宋体"/>
          <w:sz w:val="28"/>
          <w:szCs w:val="28"/>
          <w:lang w:eastAsia="zh-CN"/>
        </w:rPr>
        <w:t>重点</w:t>
      </w:r>
      <w:r>
        <w:rPr>
          <w:rFonts w:hint="eastAsia" w:ascii="宋体" w:hAnsi="宋体" w:eastAsia="宋体" w:cs="宋体"/>
          <w:sz w:val="28"/>
          <w:szCs w:val="28"/>
        </w:rPr>
        <w:t>绩效评价报告</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征求意见稿</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征求晨宇</w:t>
      </w:r>
      <w:r>
        <w:rPr>
          <w:rFonts w:hint="eastAsia" w:ascii="宋体" w:hAnsi="宋体" w:eastAsia="宋体" w:cs="宋体"/>
          <w:b w:val="0"/>
          <w:bCs w:val="0"/>
          <w:sz w:val="28"/>
          <w:szCs w:val="28"/>
          <w:lang w:val="en-US" w:eastAsia="zh-CN"/>
        </w:rPr>
        <w:t>公司意见后，报送给区</w:t>
      </w:r>
      <w:r>
        <w:rPr>
          <w:rFonts w:hint="eastAsia" w:ascii="宋体" w:hAnsi="宋体" w:eastAsia="宋体" w:cs="宋体"/>
          <w:sz w:val="28"/>
          <w:szCs w:val="28"/>
          <w:lang w:val="en-US" w:eastAsia="zh-CN"/>
        </w:rPr>
        <w:t>财政绩效科审核，审核通过后，形成</w:t>
      </w:r>
      <w:r>
        <w:rPr>
          <w:rFonts w:hint="eastAsia" w:ascii="宋体" w:hAnsi="宋体" w:eastAsia="宋体" w:cs="宋体"/>
          <w:b w:val="0"/>
          <w:bCs w:val="0"/>
          <w:sz w:val="28"/>
          <w:szCs w:val="28"/>
        </w:rPr>
        <w:t>《</w:t>
      </w:r>
      <w:r>
        <w:rPr>
          <w:rFonts w:hint="eastAsia" w:ascii="宋体" w:hAnsi="宋体" w:eastAsia="宋体" w:cs="宋体"/>
          <w:b w:val="0"/>
          <w:bCs w:val="0"/>
          <w:sz w:val="28"/>
          <w:szCs w:val="28"/>
          <w:highlight w:val="none"/>
          <w:lang w:val="en-US" w:eastAsia="zh-CN"/>
        </w:rPr>
        <w:t>岳阳市云溪区长岭污水处理厂专项债券建设项目</w:t>
      </w:r>
      <w:r>
        <w:rPr>
          <w:rFonts w:hint="eastAsia" w:ascii="宋体" w:hAnsi="宋体" w:eastAsia="宋体" w:cs="宋体"/>
          <w:sz w:val="28"/>
          <w:szCs w:val="28"/>
          <w:lang w:eastAsia="zh-CN"/>
        </w:rPr>
        <w:t>重点</w:t>
      </w:r>
      <w:r>
        <w:rPr>
          <w:rFonts w:hint="eastAsia" w:ascii="宋体" w:hAnsi="宋体" w:eastAsia="宋体" w:cs="宋体"/>
          <w:sz w:val="28"/>
          <w:szCs w:val="28"/>
        </w:rPr>
        <w:t>绩效评价报告</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正稿</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p>
    <w:p>
      <w:pPr>
        <w:keepNext w:val="0"/>
        <w:keepLines w:val="0"/>
        <w:pageBreakBefore w:val="0"/>
        <w:widowControl w:val="0"/>
        <w:numPr>
          <w:ilvl w:val="0"/>
          <w:numId w:val="10"/>
        </w:numPr>
        <w:kinsoku/>
        <w:wordWrap/>
        <w:overflowPunct/>
        <w:topLinePunct w:val="0"/>
        <w:autoSpaceDE/>
        <w:autoSpaceDN/>
        <w:bidi w:val="0"/>
        <w:snapToGrid/>
        <w:spacing w:line="520" w:lineRule="exact"/>
        <w:ind w:left="42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绩效评价结论和绩效分析</w:t>
      </w:r>
    </w:p>
    <w:p>
      <w:pPr>
        <w:keepNext w:val="0"/>
        <w:keepLines w:val="0"/>
        <w:pageBreakBefore w:val="0"/>
        <w:widowControl w:val="0"/>
        <w:kinsoku/>
        <w:wordWrap/>
        <w:overflowPunct/>
        <w:topLinePunct w:val="0"/>
        <w:autoSpaceDE/>
        <w:autoSpaceDN/>
        <w:bidi w:val="0"/>
        <w:snapToGrid/>
        <w:spacing w:line="520" w:lineRule="exact"/>
        <w:ind w:firstLine="422" w:firstLineChars="15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highlight w:val="none"/>
          <w:lang w:val="en-US" w:eastAsia="zh-CN"/>
        </w:rPr>
        <w:t>评价结论</w:t>
      </w: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经绩效评价小组评定项目得分84.5分，等级为“良”。其中：</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1、投入：  总分20分 该项目得分17分   扣3分</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2、过程 ： 总分30分 该项目得分25.5分 扣4.5分</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3、产出 ： 总分30分 该项目得分23分   扣7分</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4、效果 ： 总分20分 该项目得分19分   扣1分</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具体见《</w:t>
      </w:r>
      <w:r>
        <w:rPr>
          <w:rFonts w:hint="eastAsia" w:ascii="宋体" w:hAnsi="宋体" w:eastAsia="宋体" w:cs="宋体"/>
          <w:b w:val="0"/>
          <w:bCs w:val="0"/>
          <w:sz w:val="28"/>
          <w:szCs w:val="28"/>
          <w:highlight w:val="none"/>
          <w:lang w:val="en-US" w:eastAsia="zh-CN"/>
        </w:rPr>
        <w:t>岳阳市云溪区长岭污水处理厂专项债券建设项目绩效</w:t>
      </w:r>
      <w:r>
        <w:rPr>
          <w:rFonts w:hint="eastAsia" w:ascii="宋体" w:hAnsi="宋体" w:eastAsia="宋体" w:cs="宋体"/>
          <w:b w:val="0"/>
          <w:bCs w:val="0"/>
          <w:sz w:val="28"/>
          <w:szCs w:val="28"/>
          <w:lang w:val="en-US" w:eastAsia="zh-CN"/>
        </w:rPr>
        <w:t>评分表》（附件2）</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（二）主要绩效</w:t>
      </w:r>
    </w:p>
    <w:p>
      <w:pPr>
        <w:keepNext w:val="0"/>
        <w:keepLines w:val="0"/>
        <w:pageBreakBefore w:val="0"/>
        <w:widowControl w:val="0"/>
        <w:numPr>
          <w:ilvl w:val="0"/>
          <w:numId w:val="0"/>
        </w:numPr>
        <w:kinsoku/>
        <w:wordWrap/>
        <w:overflowPunct/>
        <w:topLinePunct w:val="0"/>
        <w:autoSpaceDE/>
        <w:bidi w:val="0"/>
        <w:adjustRightInd/>
        <w:snapToGrid/>
        <w:spacing w:line="520" w:lineRule="exact"/>
        <w:ind w:firstLine="562" w:firstLineChars="200"/>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sz w:val="28"/>
          <w:szCs w:val="28"/>
          <w:highlight w:val="none"/>
          <w:lang w:val="en-US" w:eastAsia="zh-CN"/>
        </w:rPr>
        <w:t>1、区领导高度重视，完成</w:t>
      </w:r>
      <w:r>
        <w:rPr>
          <w:rFonts w:hint="eastAsia" w:ascii="宋体" w:hAnsi="宋体" w:eastAsia="宋体" w:cs="宋体"/>
          <w:b/>
          <w:bCs/>
          <w:color w:val="000000"/>
          <w:sz w:val="28"/>
          <w:szCs w:val="28"/>
          <w:highlight w:val="none"/>
          <w:lang w:val="en-US" w:eastAsia="zh-CN"/>
        </w:rPr>
        <w:t>“洞庭清波”问题整改挂帐销号任务。</w:t>
      </w:r>
    </w:p>
    <w:p>
      <w:pPr>
        <w:keepNext w:val="0"/>
        <w:keepLines w:val="0"/>
        <w:pageBreakBefore w:val="0"/>
        <w:widowControl w:val="0"/>
        <w:numPr>
          <w:ilvl w:val="0"/>
          <w:numId w:val="0"/>
        </w:numPr>
        <w:kinsoku/>
        <w:wordWrap/>
        <w:overflowPunct/>
        <w:topLinePunct w:val="0"/>
        <w:autoSpaceDE/>
        <w:bidi w:val="0"/>
        <w:adjustRightInd/>
        <w:snapToGrid/>
        <w:spacing w:line="520" w:lineRule="exact"/>
        <w:ind w:firstLine="560" w:firstLineChars="200"/>
        <w:rPr>
          <w:rFonts w:hint="eastAsia" w:ascii="宋体" w:hAnsi="宋体" w:eastAsia="宋体" w:cs="宋体"/>
          <w:color w:val="000000"/>
          <w:sz w:val="28"/>
          <w:szCs w:val="28"/>
          <w:highlight w:val="none"/>
          <w:lang w:val="en-US" w:eastAsia="zh-CN"/>
        </w:rPr>
      </w:pPr>
      <w:r>
        <w:rPr>
          <w:rFonts w:hint="eastAsia" w:ascii="宋体" w:hAnsi="宋体" w:eastAsia="宋体" w:cs="宋体"/>
          <w:b w:val="0"/>
          <w:bCs w:val="0"/>
          <w:sz w:val="28"/>
          <w:szCs w:val="28"/>
          <w:highlight w:val="none"/>
          <w:lang w:val="en-US" w:eastAsia="zh-CN"/>
        </w:rPr>
        <w:t>本项目建设是长岭炼化公司企业办社会化职能移交的重点项目，是打好碧水蓝天保卫战的重大民生实事之一，也是落实环保督察整改要求限期完成的政治任务。区委、区政府高度重视</w:t>
      </w:r>
      <w:r>
        <w:rPr>
          <w:rFonts w:hint="eastAsia" w:ascii="宋体" w:hAnsi="宋体" w:eastAsia="宋体" w:cs="宋体"/>
          <w:b/>
          <w:bCs/>
          <w:sz w:val="28"/>
          <w:szCs w:val="28"/>
          <w:highlight w:val="none"/>
          <w:lang w:val="en-US" w:eastAsia="zh-CN"/>
        </w:rPr>
        <w:t>，</w:t>
      </w:r>
      <w:r>
        <w:rPr>
          <w:rFonts w:hint="eastAsia" w:ascii="宋体" w:hAnsi="宋体" w:eastAsia="宋体" w:cs="宋体"/>
          <w:b w:val="0"/>
          <w:bCs w:val="0"/>
          <w:sz w:val="28"/>
          <w:szCs w:val="28"/>
          <w:highlight w:val="none"/>
          <w:lang w:val="en-US" w:eastAsia="zh-CN"/>
        </w:rPr>
        <w:t>先后召开二次专题会议，为项目开辟了绿色通道，简化了审批流程，确保了项目如期完成</w:t>
      </w:r>
      <w:r>
        <w:rPr>
          <w:rFonts w:hint="eastAsia" w:ascii="宋体" w:hAnsi="宋体" w:eastAsia="宋体" w:cs="宋体"/>
          <w:b w:val="0"/>
          <w:bCs w:val="0"/>
          <w:color w:val="000000"/>
          <w:sz w:val="28"/>
          <w:szCs w:val="28"/>
          <w:highlight w:val="none"/>
          <w:lang w:val="en-US" w:eastAsia="zh-CN"/>
        </w:rPr>
        <w:t>岳</w:t>
      </w:r>
      <w:r>
        <w:rPr>
          <w:rFonts w:hint="eastAsia" w:ascii="宋体" w:hAnsi="宋体" w:eastAsia="宋体" w:cs="宋体"/>
          <w:color w:val="000000"/>
          <w:sz w:val="28"/>
          <w:szCs w:val="28"/>
          <w:highlight w:val="none"/>
          <w:lang w:val="en-US" w:eastAsia="zh-CN"/>
        </w:rPr>
        <w:t>阳市“洞庭清波”问题整改挂帐销号任务。</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2、专项债券资金投入，为顺利完成项目建设提供资金保障。</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本项目属于基础设施项目、生态环保项目、民生服务项目，是专项债券资金支持七大领域，属于具有一定收益的公益性项目 ，专项债券资金投入，为顺利完成项目建设提供资金保障。</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3、项目实施，具有良好社会效益、经济效益及环保效益。</w:t>
      </w:r>
    </w:p>
    <w:p>
      <w:pPr>
        <w:keepNext w:val="0"/>
        <w:keepLines w:val="0"/>
        <w:pageBreakBefore w:val="0"/>
        <w:widowControl w:val="0"/>
        <w:numPr>
          <w:ilvl w:val="0"/>
          <w:numId w:val="11"/>
        </w:numPr>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促进当地经济的发展。本项目对原有污水排放体系进行维修改造，使污水排放及污水管网运行更为合理、有效，节省远期运行费用。本项目的建成，大大提高了该区域污水排放能力，改善项目区域有投资环境，对长岭社区经济发展具有较大促进作用。</w:t>
      </w:r>
    </w:p>
    <w:p>
      <w:pPr>
        <w:keepNext w:val="0"/>
        <w:keepLines w:val="0"/>
        <w:pageBreakBefore w:val="0"/>
        <w:widowControl w:val="0"/>
        <w:numPr>
          <w:ilvl w:val="0"/>
          <w:numId w:val="11"/>
        </w:numPr>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改善区域内人们生活环境及社会秩序。项目实施，改善了该区域人们生活环境、生活条件及卫生状况，预防各种传染病，保障人民群众身体健康，有利于社会安定，有助于促进人与自然的和谐发展。</w:t>
      </w:r>
    </w:p>
    <w:p>
      <w:pPr>
        <w:keepNext w:val="0"/>
        <w:keepLines w:val="0"/>
        <w:pageBreakBefore w:val="0"/>
        <w:widowControl w:val="0"/>
        <w:numPr>
          <w:ilvl w:val="0"/>
          <w:numId w:val="11"/>
        </w:numPr>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保护了区域内水体环境。项目实施使该区域的生产生活污水进行收集，改变污水任意排放的现状，保护该区域的水体环境，对区域水质起到一定的保护作用。</w:t>
      </w:r>
    </w:p>
    <w:p>
      <w:pPr>
        <w:keepNext w:val="0"/>
        <w:keepLines w:val="0"/>
        <w:pageBreakBefore w:val="0"/>
        <w:widowControl w:val="0"/>
        <w:numPr>
          <w:ilvl w:val="0"/>
          <w:numId w:val="0"/>
        </w:numPr>
        <w:kinsoku/>
        <w:wordWrap/>
        <w:overflowPunct/>
        <w:topLinePunct w:val="0"/>
        <w:autoSpaceDE/>
        <w:autoSpaceDN/>
        <w:bidi w:val="0"/>
        <w:snapToGrid/>
        <w:spacing w:line="520" w:lineRule="exact"/>
        <w:textAlignment w:val="auto"/>
        <w:rPr>
          <w:rFonts w:hint="eastAsia" w:ascii="宋体" w:hAnsi="宋体" w:eastAsia="宋体" w:cs="宋体"/>
          <w:b w:val="0"/>
          <w:bCs w:val="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四、绩效评价指标分析</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i w:val="0"/>
          <w:caps w:val="0"/>
          <w:color w:val="333333"/>
          <w:spacing w:val="0"/>
          <w:sz w:val="28"/>
          <w:szCs w:val="28"/>
          <w:shd w:val="clear" w:color="auto" w:fill="FFFFFF"/>
        </w:rPr>
        <w:t>　</w:t>
      </w:r>
      <w:r>
        <w:rPr>
          <w:rFonts w:hint="eastAsia" w:ascii="宋体" w:hAnsi="宋体" w:eastAsia="宋体" w:cs="宋体"/>
          <w:b/>
          <w:bCs/>
          <w:sz w:val="28"/>
          <w:szCs w:val="28"/>
          <w:highlight w:val="none"/>
          <w:lang w:val="en-US" w:eastAsia="zh-CN"/>
        </w:rPr>
        <w:t>（一）决策方面</w:t>
      </w: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1、项目决策过程分析</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（1）立项依据充分性。项目经岳阳市发改委立项，项目符合《中共中央办公厅 国务院办公厅印发关于做好地方政府专项债券发行及项目配套融资工作的通知》（厅字〔2019〕33号）、《国务院关于加强地方政府性债务管理的意见》（国发〔2014〕43号）等于国家法律法规、行业发展政策、市委省政府决策部署；项目立项依据充分。经与区财政局相关部门核实，本项目资金无同类预算支出或部门内部相关预算支出重复现象。</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sz w:val="28"/>
          <w:szCs w:val="28"/>
          <w:highlight w:val="none"/>
          <w:lang w:val="en-US" w:eastAsia="zh-CN"/>
        </w:rPr>
        <w:t>（2）立项程序规范性。项目按规定完成勘察、设计、用地、环评、施工许可等前期批复程序；本项目为本区重大民生服务、生态环保项目，符合专项债券支持七大领域和方向；已纳入国家级项目库、中央重大投资项目库，事前已经过必要的可行性研究、专家论证及区政府二次专题会议集体决策，立项程序较规范。</w:t>
      </w:r>
      <w:r>
        <w:rPr>
          <w:rFonts w:hint="eastAsia" w:ascii="宋体" w:hAnsi="宋体" w:eastAsia="宋体" w:cs="宋体"/>
          <w:b w:val="0"/>
          <w:bCs w:val="0"/>
          <w:color w:val="auto"/>
          <w:sz w:val="28"/>
          <w:szCs w:val="28"/>
          <w:highlight w:val="none"/>
          <w:lang w:val="en-US" w:eastAsia="zh-CN"/>
        </w:rPr>
        <w:t>但未进行事前风险评估及绩效评估。</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sz w:val="28"/>
          <w:szCs w:val="28"/>
          <w:highlight w:val="none"/>
          <w:lang w:val="en-US" w:eastAsia="zh-CN"/>
        </w:rPr>
        <w:t>（3）项目符合性。本项目属于有一定收益的公益性项目，符合专项债券发行范围。区住建局聘请湖南稼沛工程咨询有限公司编制了《岳阳市云溪区长岭污水处理厂建设项目预期收益与融资平衡方案》（以下简称“融资平衡方案”）根据《融资平衡方案》项目预期收益可足额归还债券融资本金和利益，项目偿债覆盖率为1.24倍，符合专项债券发行要求。已经按照要求编制</w:t>
      </w:r>
      <w:r>
        <w:rPr>
          <w:rFonts w:hint="eastAsia" w:ascii="宋体" w:hAnsi="宋体" w:eastAsia="宋体" w:cs="宋体"/>
          <w:b w:val="0"/>
          <w:bCs w:val="0"/>
          <w:color w:val="auto"/>
          <w:sz w:val="28"/>
          <w:szCs w:val="28"/>
          <w:highlight w:val="none"/>
          <w:lang w:val="en-US" w:eastAsia="zh-CN"/>
        </w:rPr>
        <w:t>“一案两书”中的《项目财务评价报告书》《项目法律意见书》）。</w:t>
      </w: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2、项目绩效管理分析</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项目单位在项目申报时未编制实施期绩效目标和项目年度绩效目标，明确政府债券项目在全生命周期内及每一年度内预期达到的产出和效果；未提供绩效自评报告及自评表。</w:t>
      </w: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3、资金投入分析</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本项目专项债务收入、安排的支出、还本付息、发行费用等纳入了政府性基金预算管理。区住建局申请债券资金计划5,000万，根据项目收入及实际偿债能力，预算经过科学论证、集体决策，经区领导审批、区财政局分配，实际安排项目专项债券资金3,000万元，项目批复专项债券额度与实际投资比例基本匹配。</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（二）过程管理方面</w:t>
      </w: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1、资金管理情况分析</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（1）资金到位率。</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一是债券资金到位情况：至2020年12月31日，实际安排专项债券资金3,000万元，资金到位3,000万元，专项债券资金到位率100%。2020年11月2日专项债券资金到位，资金到位及时，与项目建设进度匹配度较好。</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二是自筹资金到位情况：至2020年12月31日，自筹资金（8,155.13万元）到位6,395.00万元，资金到位率78.42%。</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（2）预算执行率。至2020年12月31日止，债券资金预算3,000万元项目支出6,901.13万元(包括自筹资金），债券资金与项目自筹资金混同核算，预算执行率为100%。项目资金支出与项目建设进度相匹配。</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3）资金使用合规性。晨宇公司执行区城建投公司制定的具体的资金财务管理办法，区城建投公司制定内部管理制度及管理办法符合国家财经法规和财务管理制度；项目资金的拨付有完整的审批程序和手续。资金使用信息已录入专项债券综合管理平台备查。但建设用地补偿费用等支出金额超概算。</w:t>
      </w:r>
    </w:p>
    <w:p>
      <w:pPr>
        <w:keepNext w:val="0"/>
        <w:keepLines w:val="0"/>
        <w:pageBreakBefore w:val="0"/>
        <w:widowControl w:val="0"/>
        <w:kinsoku/>
        <w:wordWrap/>
        <w:overflowPunct/>
        <w:topLinePunct w:val="0"/>
        <w:autoSpaceDE/>
        <w:autoSpaceDN w:val="0"/>
        <w:bidi w:val="0"/>
        <w:snapToGrid/>
        <w:spacing w:line="520" w:lineRule="exact"/>
        <w:ind w:firstLine="560" w:firstLineChars="200"/>
        <w:textAlignment w:val="center"/>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（4）债券资金还本付息。</w:t>
      </w:r>
    </w:p>
    <w:p>
      <w:pPr>
        <w:keepNext w:val="0"/>
        <w:keepLines w:val="0"/>
        <w:pageBreakBefore w:val="0"/>
        <w:widowControl w:val="0"/>
        <w:kinsoku/>
        <w:wordWrap/>
        <w:overflowPunct/>
        <w:topLinePunct w:val="0"/>
        <w:autoSpaceDE/>
        <w:autoSpaceDN w:val="0"/>
        <w:bidi w:val="0"/>
        <w:snapToGrid/>
        <w:spacing w:line="520" w:lineRule="exact"/>
        <w:ind w:firstLine="560" w:firstLineChars="200"/>
        <w:textAlignment w:val="center"/>
        <w:rPr>
          <w:rFonts w:hint="eastAsia" w:ascii="宋体" w:hAnsi="宋体" w:eastAsia="宋体" w:cs="宋体"/>
          <w:sz w:val="28"/>
          <w:szCs w:val="28"/>
          <w:lang w:val="en-US" w:eastAsia="zh-CN"/>
        </w:rPr>
      </w:pPr>
      <w:r>
        <w:rPr>
          <w:rFonts w:hint="eastAsia" w:ascii="宋体" w:hAnsi="宋体" w:eastAsia="宋体" w:cs="宋体"/>
          <w:sz w:val="28"/>
          <w:szCs w:val="28"/>
        </w:rPr>
        <w:t>①还本付息计划。根据《融资平衡方案》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本次债券期限为15年，预测年利率为3.77%,项目建设期1年，运营期14年，从2021年至2034年只付息，至2034年一次性偿还专项债券本金。</w:t>
      </w:r>
      <w:r>
        <w:rPr>
          <w:rFonts w:hint="eastAsia" w:ascii="宋体" w:hAnsi="宋体" w:eastAsia="宋体" w:cs="宋体"/>
          <w:sz w:val="28"/>
          <w:szCs w:val="28"/>
        </w:rPr>
        <w:t>根据《融资平衡方案》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本金按5,000.00万元测算，本利息共计7,639.00万元，因实际债券本金为3,000.00万元，14年内应还本息约为4,583.4万元，即每年应支付利息约113.1万元。</w:t>
      </w:r>
    </w:p>
    <w:p>
      <w:pPr>
        <w:keepNext w:val="0"/>
        <w:keepLines w:val="0"/>
        <w:pageBreakBefore w:val="0"/>
        <w:widowControl w:val="0"/>
        <w:kinsoku/>
        <w:wordWrap/>
        <w:overflowPunct/>
        <w:topLinePunct w:val="0"/>
        <w:autoSpaceDE/>
        <w:autoSpaceDN w:val="0"/>
        <w:bidi w:val="0"/>
        <w:snapToGrid/>
        <w:spacing w:line="520" w:lineRule="exact"/>
        <w:ind w:firstLine="560" w:firstLineChars="200"/>
        <w:textAlignment w:val="center"/>
        <w:rPr>
          <w:rFonts w:hint="eastAsia" w:ascii="宋体" w:hAnsi="宋体" w:eastAsia="宋体" w:cs="宋体"/>
          <w:sz w:val="28"/>
          <w:szCs w:val="28"/>
        </w:rPr>
      </w:pPr>
      <w:r>
        <w:rPr>
          <w:rFonts w:hint="eastAsia" w:ascii="宋体" w:hAnsi="宋体" w:eastAsia="宋体" w:cs="宋体"/>
          <w:sz w:val="28"/>
          <w:szCs w:val="28"/>
          <w:highlight w:val="none"/>
        </w:rPr>
        <w:t>②偿还利息情况</w:t>
      </w:r>
      <w:r>
        <w:rPr>
          <w:rFonts w:hint="eastAsia" w:ascii="宋体" w:hAnsi="宋体" w:eastAsia="宋体" w:cs="宋体"/>
          <w:sz w:val="28"/>
          <w:szCs w:val="28"/>
          <w:highlight w:val="none"/>
          <w:lang w:eastAsia="zh-CN"/>
        </w:rPr>
        <w:t>。</w:t>
      </w:r>
      <w:r>
        <w:rPr>
          <w:rFonts w:hint="eastAsia" w:ascii="宋体" w:hAnsi="宋体" w:eastAsia="宋体" w:cs="宋体"/>
          <w:sz w:val="28"/>
          <w:szCs w:val="28"/>
        </w:rPr>
        <w:t>2021年</w:t>
      </w:r>
      <w:r>
        <w:rPr>
          <w:rFonts w:hint="eastAsia" w:ascii="宋体" w:hAnsi="宋体" w:eastAsia="宋体" w:cs="宋体"/>
          <w:sz w:val="28"/>
          <w:szCs w:val="28"/>
          <w:lang w:val="en-US" w:eastAsia="zh-CN"/>
        </w:rPr>
        <w:t>4</w:t>
      </w:r>
      <w:r>
        <w:rPr>
          <w:rFonts w:hint="eastAsia" w:ascii="宋体" w:hAnsi="宋体" w:eastAsia="宋体" w:cs="宋体"/>
          <w:sz w:val="28"/>
          <w:szCs w:val="28"/>
        </w:rPr>
        <w:t>月</w:t>
      </w:r>
      <w:r>
        <w:rPr>
          <w:rFonts w:hint="eastAsia" w:ascii="宋体" w:hAnsi="宋体" w:eastAsia="宋体" w:cs="宋体"/>
          <w:sz w:val="28"/>
          <w:szCs w:val="28"/>
          <w:lang w:val="en-US" w:eastAsia="zh-CN"/>
        </w:rPr>
        <w:t>及10月,分二次共支付专项债券利息116.1万元</w:t>
      </w:r>
      <w:r>
        <w:rPr>
          <w:rFonts w:hint="eastAsia" w:ascii="宋体" w:hAnsi="宋体" w:eastAsia="宋体" w:cs="宋体"/>
          <w:sz w:val="28"/>
          <w:szCs w:val="28"/>
        </w:rPr>
        <w:t>（按市财政局确定利率</w:t>
      </w:r>
      <w:r>
        <w:rPr>
          <w:rFonts w:hint="eastAsia" w:ascii="宋体" w:hAnsi="宋体" w:eastAsia="宋体" w:cs="宋体"/>
          <w:sz w:val="28"/>
          <w:szCs w:val="28"/>
          <w:lang w:val="en-US" w:eastAsia="zh-CN"/>
        </w:rPr>
        <w:t>(3.87%)</w:t>
      </w:r>
      <w:r>
        <w:rPr>
          <w:rFonts w:hint="eastAsia" w:ascii="宋体" w:hAnsi="宋体" w:eastAsia="宋体" w:cs="宋体"/>
          <w:sz w:val="28"/>
          <w:szCs w:val="28"/>
        </w:rPr>
        <w:t>实际支付金额），及时缴纳项目应当承担的利息，完成本年度付息任务100%。本项目还息资金来源</w:t>
      </w:r>
      <w:r>
        <w:rPr>
          <w:rFonts w:hint="eastAsia" w:ascii="宋体" w:hAnsi="宋体" w:eastAsia="宋体" w:cs="宋体"/>
          <w:sz w:val="28"/>
          <w:szCs w:val="28"/>
          <w:lang w:val="en-US" w:eastAsia="zh-CN"/>
        </w:rPr>
        <w:t>区财政垫付</w:t>
      </w:r>
      <w:r>
        <w:rPr>
          <w:rFonts w:hint="eastAsia" w:ascii="宋体" w:hAnsi="宋体" w:eastAsia="宋体" w:cs="宋体"/>
          <w:sz w:val="28"/>
          <w:szCs w:val="28"/>
        </w:rPr>
        <w:t>资金</w:t>
      </w:r>
      <w:r>
        <w:rPr>
          <w:rFonts w:hint="eastAsia" w:ascii="宋体" w:hAnsi="宋体" w:eastAsia="宋体" w:cs="宋体"/>
          <w:sz w:val="28"/>
          <w:szCs w:val="28"/>
          <w:lang w:eastAsia="zh-CN"/>
        </w:rPr>
        <w:t>。</w:t>
      </w:r>
      <w:r>
        <w:rPr>
          <w:rFonts w:hint="eastAsia" w:ascii="宋体" w:hAnsi="宋体" w:eastAsia="宋体" w:cs="宋体"/>
          <w:sz w:val="28"/>
          <w:szCs w:val="28"/>
        </w:rPr>
        <w:t>不存在使用其他项目对应的项目收益错项偿还到期债券利息情况。</w:t>
      </w:r>
    </w:p>
    <w:p>
      <w:pPr>
        <w:keepNext w:val="0"/>
        <w:keepLines w:val="0"/>
        <w:pageBreakBefore w:val="0"/>
        <w:widowControl w:val="0"/>
        <w:kinsoku/>
        <w:wordWrap/>
        <w:overflowPunct/>
        <w:topLinePunct w:val="0"/>
        <w:autoSpaceDE/>
        <w:autoSpaceDN w:val="0"/>
        <w:bidi w:val="0"/>
        <w:snapToGrid/>
        <w:spacing w:line="520" w:lineRule="exact"/>
        <w:ind w:firstLine="560" w:firstLineChars="200"/>
        <w:textAlignment w:val="center"/>
        <w:rPr>
          <w:rFonts w:hint="eastAsia" w:ascii="宋体" w:hAnsi="宋体" w:eastAsia="宋体" w:cs="宋体"/>
          <w:sz w:val="28"/>
          <w:szCs w:val="28"/>
          <w:lang w:eastAsia="zh-CN"/>
        </w:rPr>
      </w:pPr>
      <w:r>
        <w:rPr>
          <w:rFonts w:hint="eastAsia" w:ascii="宋体" w:hAnsi="宋体" w:eastAsia="宋体" w:cs="宋体"/>
          <w:sz w:val="28"/>
          <w:szCs w:val="28"/>
        </w:rPr>
        <w:t>③专项债券期限与项目建设运营期限匹配情况。本专项债券期限为</w:t>
      </w:r>
      <w:r>
        <w:rPr>
          <w:rFonts w:hint="eastAsia" w:ascii="宋体" w:hAnsi="宋体" w:eastAsia="宋体" w:cs="宋体"/>
          <w:sz w:val="28"/>
          <w:szCs w:val="28"/>
          <w:lang w:val="en-US" w:eastAsia="zh-CN"/>
        </w:rPr>
        <w:t>1</w:t>
      </w:r>
      <w:r>
        <w:rPr>
          <w:rFonts w:hint="eastAsia" w:ascii="宋体" w:hAnsi="宋体" w:eastAsia="宋体" w:cs="宋体"/>
          <w:sz w:val="28"/>
          <w:szCs w:val="28"/>
        </w:rPr>
        <w:t>5年，</w:t>
      </w:r>
      <w:r>
        <w:rPr>
          <w:rFonts w:hint="eastAsia" w:ascii="宋体" w:hAnsi="宋体" w:eastAsia="宋体" w:cs="宋体"/>
          <w:sz w:val="28"/>
          <w:szCs w:val="28"/>
          <w:lang w:val="en-US" w:eastAsia="zh-CN"/>
        </w:rPr>
        <w:t>根据惯例，新建污水处理厂运行使用期限20年计算，</w:t>
      </w:r>
      <w:r>
        <w:rPr>
          <w:rFonts w:hint="eastAsia" w:ascii="宋体" w:hAnsi="宋体" w:eastAsia="宋体" w:cs="宋体"/>
          <w:sz w:val="28"/>
          <w:szCs w:val="28"/>
        </w:rPr>
        <w:t>专项债券期限与项目建设运营期限匹配</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val="0"/>
        <w:bidi w:val="0"/>
        <w:snapToGrid/>
        <w:spacing w:line="520" w:lineRule="exact"/>
        <w:ind w:firstLine="560" w:firstLineChars="200"/>
        <w:textAlignment w:val="center"/>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en-US" w:eastAsia="zh-CN"/>
        </w:rPr>
        <w:t>2021年运营期</w:t>
      </w:r>
      <w:r>
        <w:rPr>
          <w:rFonts w:hint="eastAsia" w:ascii="宋体" w:hAnsi="宋体" w:eastAsia="宋体" w:cs="宋体"/>
          <w:sz w:val="28"/>
          <w:szCs w:val="28"/>
        </w:rPr>
        <w:t>项目收入、成本及预期收益的合理性。</w:t>
      </w:r>
    </w:p>
    <w:p>
      <w:pPr>
        <w:keepNext w:val="0"/>
        <w:keepLines w:val="0"/>
        <w:pageBreakBefore w:val="0"/>
        <w:widowControl w:val="0"/>
        <w:kinsoku/>
        <w:wordWrap/>
        <w:overflowPunct/>
        <w:topLinePunct w:val="0"/>
        <w:autoSpaceDE/>
        <w:autoSpaceDN w:val="0"/>
        <w:bidi w:val="0"/>
        <w:snapToGrid/>
        <w:spacing w:line="520" w:lineRule="exact"/>
        <w:ind w:firstLine="560" w:firstLineChars="200"/>
        <w:textAlignment w:val="center"/>
        <w:rPr>
          <w:rFonts w:hint="eastAsia" w:ascii="宋体" w:hAnsi="宋体" w:eastAsia="宋体" w:cs="宋体"/>
          <w:sz w:val="28"/>
          <w:szCs w:val="28"/>
          <w:lang w:val="en-US" w:eastAsia="zh-CN"/>
        </w:rPr>
      </w:pPr>
      <w:r>
        <w:rPr>
          <w:rFonts w:hint="eastAsia" w:ascii="宋体" w:hAnsi="宋体" w:eastAsia="宋体" w:cs="宋体"/>
          <w:sz w:val="28"/>
          <w:szCs w:val="28"/>
        </w:rPr>
        <w:t>一是成本</w:t>
      </w:r>
      <w:r>
        <w:rPr>
          <w:rFonts w:hint="eastAsia" w:ascii="宋体" w:hAnsi="宋体" w:eastAsia="宋体" w:cs="宋体"/>
          <w:sz w:val="28"/>
          <w:szCs w:val="28"/>
          <w:lang w:val="en-US" w:eastAsia="zh-CN"/>
        </w:rPr>
        <w:t>预测依据</w:t>
      </w:r>
      <w:r>
        <w:rPr>
          <w:rFonts w:hint="eastAsia" w:ascii="宋体" w:hAnsi="宋体" w:eastAsia="宋体" w:cs="宋体"/>
          <w:sz w:val="28"/>
          <w:szCs w:val="28"/>
        </w:rPr>
        <w:t>。根据《融资平衡方案》，</w:t>
      </w:r>
      <w:r>
        <w:rPr>
          <w:rFonts w:hint="eastAsia" w:ascii="宋体" w:hAnsi="宋体" w:eastAsia="宋体" w:cs="宋体"/>
          <w:sz w:val="28"/>
          <w:szCs w:val="28"/>
          <w:lang w:val="en-US" w:eastAsia="zh-CN"/>
        </w:rPr>
        <w:t>测算运营期（14年总成本）为</w:t>
      </w:r>
      <w:r>
        <w:rPr>
          <w:rFonts w:hint="eastAsia" w:ascii="宋体" w:hAnsi="宋体" w:eastAsia="宋体" w:cs="宋体"/>
          <w:sz w:val="28"/>
          <w:szCs w:val="28"/>
        </w:rPr>
        <w:t>3</w:t>
      </w:r>
      <w:r>
        <w:rPr>
          <w:rFonts w:hint="eastAsia" w:ascii="宋体" w:hAnsi="宋体" w:eastAsia="宋体" w:cs="宋体"/>
          <w:sz w:val="28"/>
          <w:szCs w:val="28"/>
          <w:lang w:val="en-US" w:eastAsia="zh-CN"/>
        </w:rPr>
        <w:t>,908</w:t>
      </w:r>
      <w:r>
        <w:rPr>
          <w:rFonts w:hint="eastAsia" w:ascii="宋体" w:hAnsi="宋体" w:eastAsia="宋体" w:cs="宋体"/>
          <w:sz w:val="28"/>
          <w:szCs w:val="28"/>
        </w:rPr>
        <w:t>.</w:t>
      </w:r>
      <w:r>
        <w:rPr>
          <w:rFonts w:hint="eastAsia" w:ascii="宋体" w:hAnsi="宋体" w:eastAsia="宋体" w:cs="宋体"/>
          <w:sz w:val="28"/>
          <w:szCs w:val="28"/>
          <w:lang w:val="en-US" w:eastAsia="zh-CN"/>
        </w:rPr>
        <w:t>81</w:t>
      </w:r>
      <w:r>
        <w:rPr>
          <w:rFonts w:hint="eastAsia" w:ascii="宋体" w:hAnsi="宋体" w:eastAsia="宋体" w:cs="宋体"/>
          <w:sz w:val="28"/>
          <w:szCs w:val="28"/>
        </w:rPr>
        <w:t>万元。</w:t>
      </w:r>
      <w:r>
        <w:rPr>
          <w:rFonts w:hint="eastAsia" w:ascii="宋体" w:hAnsi="宋体" w:eastAsia="宋体" w:cs="宋体"/>
          <w:sz w:val="28"/>
          <w:szCs w:val="28"/>
          <w:lang w:val="en-US" w:eastAsia="zh-CN"/>
        </w:rPr>
        <w:t>包括运营期经营成本1,269.81万元（90.7万元/年）、利息支出2,639.00万元（188.5万元/年）。</w:t>
      </w:r>
    </w:p>
    <w:p>
      <w:pPr>
        <w:keepNext w:val="0"/>
        <w:keepLines w:val="0"/>
        <w:pageBreakBefore w:val="0"/>
        <w:widowControl w:val="0"/>
        <w:kinsoku/>
        <w:wordWrap/>
        <w:overflowPunct/>
        <w:topLinePunct w:val="0"/>
        <w:autoSpaceDE/>
        <w:autoSpaceDN w:val="0"/>
        <w:bidi w:val="0"/>
        <w:snapToGrid/>
        <w:spacing w:line="520" w:lineRule="exact"/>
        <w:ind w:firstLine="560" w:firstLineChars="200"/>
        <w:textAlignment w:val="center"/>
        <w:rPr>
          <w:rFonts w:hint="eastAsia" w:ascii="宋体" w:hAnsi="宋体" w:eastAsia="宋体" w:cs="宋体"/>
          <w:sz w:val="28"/>
          <w:szCs w:val="28"/>
          <w:lang w:val="en-US" w:eastAsia="zh-CN"/>
        </w:rPr>
      </w:pPr>
      <w:r>
        <w:rPr>
          <w:rFonts w:hint="eastAsia" w:ascii="宋体" w:hAnsi="宋体" w:eastAsia="宋体" w:cs="宋体"/>
          <w:sz w:val="28"/>
          <w:szCs w:val="28"/>
        </w:rPr>
        <w:t>二是项目收入</w:t>
      </w:r>
      <w:r>
        <w:rPr>
          <w:rFonts w:hint="eastAsia" w:ascii="宋体" w:hAnsi="宋体" w:eastAsia="宋体" w:cs="宋体"/>
          <w:sz w:val="28"/>
          <w:szCs w:val="28"/>
          <w:lang w:val="en-US" w:eastAsia="zh-CN"/>
        </w:rPr>
        <w:t>预测依据。项目运营年</w:t>
      </w:r>
      <w:r>
        <w:rPr>
          <w:rFonts w:hint="eastAsia" w:ascii="宋体" w:hAnsi="宋体" w:eastAsia="宋体" w:cs="宋体"/>
          <w:sz w:val="28"/>
          <w:szCs w:val="28"/>
        </w:rPr>
        <w:t>收</w:t>
      </w:r>
      <w:r>
        <w:rPr>
          <w:rFonts w:hint="eastAsia" w:ascii="宋体" w:hAnsi="宋体" w:eastAsia="宋体" w:cs="宋体"/>
          <w:sz w:val="28"/>
          <w:szCs w:val="28"/>
          <w:lang w:val="en-US" w:eastAsia="zh-CN"/>
        </w:rPr>
        <w:t>入来源于污水处理收入及财政补贴收入。</w:t>
      </w:r>
      <w:r>
        <w:rPr>
          <w:rFonts w:hint="eastAsia" w:ascii="宋体" w:hAnsi="宋体" w:eastAsia="宋体" w:cs="宋体"/>
          <w:sz w:val="28"/>
          <w:szCs w:val="28"/>
        </w:rPr>
        <w:t>根据《融资平衡方案》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项目运营期14年总收入为11,060.16万元（未包含应交税费），其中污水处理收入6,860.16万元（490.01万元/年），财政补贴收入4,200.00万元（300万元/年）。</w:t>
      </w:r>
    </w:p>
    <w:p>
      <w:pPr>
        <w:keepNext w:val="0"/>
        <w:keepLines w:val="0"/>
        <w:pageBreakBefore w:val="0"/>
        <w:widowControl w:val="0"/>
        <w:kinsoku/>
        <w:wordWrap/>
        <w:overflowPunct/>
        <w:topLinePunct w:val="0"/>
        <w:autoSpaceDE/>
        <w:autoSpaceDN w:val="0"/>
        <w:bidi w:val="0"/>
        <w:snapToGrid/>
        <w:spacing w:line="520" w:lineRule="exact"/>
        <w:ind w:firstLine="560" w:firstLineChars="200"/>
        <w:textAlignment w:val="center"/>
        <w:rPr>
          <w:rFonts w:hint="eastAsia" w:ascii="宋体" w:hAnsi="宋体" w:eastAsia="宋体" w:cs="宋体"/>
          <w:sz w:val="28"/>
          <w:szCs w:val="28"/>
          <w:lang w:val="en-US" w:eastAsia="zh-CN"/>
        </w:rPr>
      </w:pPr>
      <w:r>
        <w:rPr>
          <w:rFonts w:hint="eastAsia" w:ascii="宋体" w:hAnsi="宋体" w:eastAsia="宋体" w:cs="宋体"/>
          <w:sz w:val="28"/>
          <w:szCs w:val="28"/>
        </w:rPr>
        <w:t>三</w:t>
      </w:r>
      <w:r>
        <w:rPr>
          <w:rFonts w:hint="eastAsia" w:ascii="宋体" w:hAnsi="宋体" w:eastAsia="宋体" w:cs="宋体"/>
          <w:sz w:val="28"/>
          <w:szCs w:val="28"/>
          <w:lang w:val="en-US" w:eastAsia="zh-CN"/>
        </w:rPr>
        <w:t>是实际与预期</w:t>
      </w:r>
      <w:r>
        <w:rPr>
          <w:rFonts w:hint="eastAsia" w:ascii="宋体" w:hAnsi="宋体" w:eastAsia="宋体" w:cs="宋体"/>
          <w:sz w:val="28"/>
          <w:szCs w:val="28"/>
        </w:rPr>
        <w:t>收益</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成本情况。2021年实际收入为0万元，未收取居民污水处理费；2021年实际成本支出共298.53万元，其中：运营支出（按运营承包合同3年547.3万元）为182.43万元，由财政支付；支付专项债券利息116.1万元，由区财政局垫付。2021年实际成本略高于预期成本。</w:t>
      </w:r>
    </w:p>
    <w:p>
      <w:pPr>
        <w:keepNext w:val="0"/>
        <w:keepLines w:val="0"/>
        <w:pageBreakBefore w:val="0"/>
        <w:widowControl w:val="0"/>
        <w:kinsoku/>
        <w:wordWrap/>
        <w:overflowPunct/>
        <w:topLinePunct w:val="0"/>
        <w:autoSpaceDE/>
        <w:autoSpaceDN w:val="0"/>
        <w:bidi w:val="0"/>
        <w:snapToGrid/>
        <w:spacing w:line="520" w:lineRule="exact"/>
        <w:ind w:firstLine="562" w:firstLineChars="200"/>
        <w:textAlignment w:val="cente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2、项目实施情况分析</w:t>
      </w:r>
    </w:p>
    <w:p>
      <w:pPr>
        <w:keepNext w:val="0"/>
        <w:keepLines w:val="0"/>
        <w:pageBreakBefore w:val="0"/>
        <w:widowControl w:val="0"/>
        <w:kinsoku/>
        <w:wordWrap/>
        <w:overflowPunct/>
        <w:topLinePunct w:val="0"/>
        <w:autoSpaceDE/>
        <w:autoSpaceDN w:val="0"/>
        <w:bidi w:val="0"/>
        <w:snapToGrid/>
        <w:spacing w:line="520" w:lineRule="exact"/>
        <w:ind w:firstLine="560" w:firstLineChars="200"/>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管理制度健全性。项目建设期间，晨宇公司执行区城建投公司《工程项目管理制度》《在建工程管理制度》《固定资产管理制度》等管理制度，区城建投公司制订了运营维护的监管制度，管理制度较健全性。</w:t>
      </w:r>
    </w:p>
    <w:p>
      <w:pPr>
        <w:keepNext w:val="0"/>
        <w:keepLines w:val="0"/>
        <w:pageBreakBefore w:val="0"/>
        <w:widowControl w:val="0"/>
        <w:kinsoku/>
        <w:wordWrap/>
        <w:overflowPunct/>
        <w:topLinePunct w:val="0"/>
        <w:autoSpaceDE/>
        <w:autoSpaceDN w:val="0"/>
        <w:bidi w:val="0"/>
        <w:snapToGrid/>
        <w:spacing w:line="520" w:lineRule="exact"/>
        <w:ind w:firstLine="560" w:firstLineChars="200"/>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项目质量控制情况。一是明确质量标准，项目质量按照《建设项目工程总承包合同》约定：设计质量标准为施工图设计文件的内容和深度，应符合的达到国家规定的要求；施工要求的质量标准符合国家的验收规范合格工程标准；设备要求的质量标准符合国家和设计文件明确的相关验收合格的标准要求。二是项目施工期间聘请了符合要求资质监理单位湖南省硅谷项目管理有限公司负责监理，明确质量保修责任，城建投公司指派项目经理定期对项目质量进行跟踪检查。三是项目验收实行竣工后试验。</w:t>
      </w:r>
    </w:p>
    <w:p>
      <w:pPr>
        <w:keepNext w:val="0"/>
        <w:keepLines w:val="0"/>
        <w:pageBreakBefore w:val="0"/>
        <w:widowControl w:val="0"/>
        <w:kinsoku/>
        <w:wordWrap/>
        <w:overflowPunct/>
        <w:topLinePunct w:val="0"/>
        <w:autoSpaceDE/>
        <w:autoSpaceDN w:val="0"/>
        <w:bidi w:val="0"/>
        <w:snapToGrid/>
        <w:spacing w:line="520" w:lineRule="exact"/>
        <w:ind w:firstLine="560" w:firstLineChars="200"/>
        <w:textAlignment w:val="center"/>
        <w:rPr>
          <w:rFonts w:hint="eastAsia" w:ascii="宋体" w:hAnsi="宋体" w:eastAsia="宋体" w:cs="宋体"/>
          <w:i w:val="0"/>
          <w:caps w:val="0"/>
          <w:color w:val="FF0000"/>
          <w:spacing w:val="0"/>
          <w:sz w:val="28"/>
          <w:szCs w:val="28"/>
          <w:shd w:val="clear" w:color="auto" w:fill="FFFFFF"/>
          <w:lang w:val="en-US" w:eastAsia="zh-CN"/>
        </w:rPr>
      </w:pPr>
      <w:r>
        <w:rPr>
          <w:rFonts w:hint="eastAsia" w:ascii="宋体" w:hAnsi="宋体" w:eastAsia="宋体" w:cs="宋体"/>
          <w:sz w:val="28"/>
          <w:szCs w:val="28"/>
          <w:lang w:val="en-US" w:eastAsia="zh-CN"/>
        </w:rPr>
        <w:t>（3）招标、政府采购与合同管理情况。一是对项目设计采购施工总承包进行公开招标；二是与中标单位签订了《建设项目工程总承包合同》。但合同内容不合规、金额不准确。</w:t>
      </w:r>
    </w:p>
    <w:p>
      <w:pPr>
        <w:keepNext w:val="0"/>
        <w:keepLines w:val="0"/>
        <w:pageBreakBefore w:val="0"/>
        <w:widowControl w:val="0"/>
        <w:kinsoku/>
        <w:wordWrap/>
        <w:overflowPunct/>
        <w:topLinePunct w:val="0"/>
        <w:autoSpaceDE/>
        <w:autoSpaceDN w:val="0"/>
        <w:bidi w:val="0"/>
        <w:snapToGrid/>
        <w:spacing w:line="520" w:lineRule="exact"/>
        <w:ind w:firstLine="560" w:firstLineChars="200"/>
        <w:textAlignment w:val="center"/>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4）资产管理情况。项目建设完成后，由区城建投公司运营部负责资产运营期维护管理职责。运营期具体实施工作承包给湖南迈青公司，湖南迈青公司负责运营期对资产日常运营、管理和维护。项目资产不存在抵</w:t>
      </w:r>
      <w:r>
        <w:rPr>
          <w:rFonts w:hint="eastAsia" w:ascii="宋体" w:hAnsi="宋体" w:eastAsia="宋体" w:cs="宋体"/>
          <w:sz w:val="28"/>
          <w:szCs w:val="28"/>
          <w:lang w:val="en-US" w:eastAsia="zh-CN"/>
        </w:rPr>
        <w:t>质押的情况。但项目竣工后未进行资产备案和产权登记。</w:t>
      </w:r>
    </w:p>
    <w:p>
      <w:pPr>
        <w:keepNext w:val="0"/>
        <w:keepLines w:val="0"/>
        <w:pageBreakBefore w:val="0"/>
        <w:widowControl w:val="0"/>
        <w:kinsoku/>
        <w:wordWrap/>
        <w:overflowPunct/>
        <w:topLinePunct w:val="0"/>
        <w:autoSpaceDE/>
        <w:autoSpaceDN w:val="0"/>
        <w:bidi w:val="0"/>
        <w:snapToGrid/>
        <w:spacing w:line="520" w:lineRule="exact"/>
        <w:ind w:firstLine="562" w:firstLineChars="200"/>
        <w:textAlignment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3、风控机制及措施</w:t>
      </w:r>
    </w:p>
    <w:p>
      <w:pPr>
        <w:keepNext w:val="0"/>
        <w:keepLines w:val="0"/>
        <w:pageBreakBefore w:val="0"/>
        <w:widowControl w:val="0"/>
        <w:kinsoku/>
        <w:wordWrap/>
        <w:overflowPunct/>
        <w:topLinePunct w:val="0"/>
        <w:autoSpaceDE/>
        <w:autoSpaceDN w:val="0"/>
        <w:bidi w:val="0"/>
        <w:snapToGrid/>
        <w:spacing w:line="520" w:lineRule="exact"/>
        <w:ind w:firstLine="560" w:firstLineChars="200"/>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（1）风控机制及措施。未建立债务风险动态监测机制及风险应对的防范措施、债务风险应对预案和社会稳定风险应对预案。</w:t>
      </w:r>
    </w:p>
    <w:p>
      <w:pPr>
        <w:keepNext w:val="0"/>
        <w:keepLines w:val="0"/>
        <w:pageBreakBefore w:val="0"/>
        <w:widowControl w:val="0"/>
        <w:kinsoku/>
        <w:wordWrap/>
        <w:overflowPunct/>
        <w:topLinePunct w:val="0"/>
        <w:autoSpaceDE/>
        <w:autoSpaceDN w:val="0"/>
        <w:bidi w:val="0"/>
        <w:snapToGrid/>
        <w:spacing w:line="520" w:lineRule="exact"/>
        <w:ind w:firstLine="560" w:firstLineChars="200"/>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（2）风控效果情况。本项目2021年投入运营，未发生过重大债务违约事件、重大安全事故、重大违法违规事件等。</w:t>
      </w:r>
    </w:p>
    <w:p>
      <w:pPr>
        <w:keepNext w:val="0"/>
        <w:keepLines w:val="0"/>
        <w:pageBreakBefore w:val="0"/>
        <w:widowControl w:val="0"/>
        <w:kinsoku/>
        <w:wordWrap/>
        <w:overflowPunct/>
        <w:topLinePunct w:val="0"/>
        <w:autoSpaceDE/>
        <w:autoSpaceDN w:val="0"/>
        <w:bidi w:val="0"/>
        <w:snapToGrid/>
        <w:spacing w:line="520" w:lineRule="exact"/>
        <w:ind w:firstLine="560" w:firstLineChars="200"/>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（3）问题整改。根据晨宇公司说明，项目建设及运营期财政部驻湘监管局和财政部门、审计部门暂未对本项目进行检查。</w:t>
      </w:r>
    </w:p>
    <w:p>
      <w:pPr>
        <w:keepNext w:val="0"/>
        <w:keepLines w:val="0"/>
        <w:pageBreakBefore w:val="0"/>
        <w:widowControl w:val="0"/>
        <w:kinsoku/>
        <w:wordWrap/>
        <w:overflowPunct/>
        <w:topLinePunct w:val="0"/>
        <w:autoSpaceDE/>
        <w:autoSpaceDN w:val="0"/>
        <w:bidi w:val="0"/>
        <w:snapToGrid/>
        <w:spacing w:line="520" w:lineRule="exact"/>
        <w:ind w:firstLine="560" w:firstLineChars="200"/>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（4）信息公开。相关部门对本项目债券资金发行、存续、重大事项、调整用途等进行信息进行公开披露。</w:t>
      </w:r>
    </w:p>
    <w:p>
      <w:pPr>
        <w:keepNext w:val="0"/>
        <w:keepLines w:val="0"/>
        <w:pageBreakBefore w:val="0"/>
        <w:widowControl w:val="0"/>
        <w:kinsoku/>
        <w:wordWrap/>
        <w:overflowPunct/>
        <w:topLinePunct w:val="0"/>
        <w:autoSpaceDE/>
        <w:autoSpaceDN w:val="0"/>
        <w:bidi w:val="0"/>
        <w:snapToGrid/>
        <w:spacing w:line="520" w:lineRule="exact"/>
        <w:ind w:firstLine="560" w:firstLineChars="200"/>
        <w:textAlignment w:val="center"/>
        <w:rPr>
          <w:rFonts w:hint="eastAsia" w:ascii="宋体" w:hAnsi="宋体" w:eastAsia="宋体" w:cs="宋体"/>
          <w:kern w:val="2"/>
          <w:sz w:val="28"/>
          <w:szCs w:val="28"/>
          <w:lang w:val="en-US" w:eastAsia="zh-CN" w:bidi="ar-SA"/>
        </w:rPr>
      </w:pPr>
    </w:p>
    <w:p>
      <w:pPr>
        <w:keepNext w:val="0"/>
        <w:keepLines w:val="0"/>
        <w:pageBreakBefore w:val="0"/>
        <w:widowControl w:val="0"/>
        <w:kinsoku/>
        <w:wordWrap/>
        <w:overflowPunct/>
        <w:topLinePunct w:val="0"/>
        <w:autoSpaceDE/>
        <w:autoSpaceDN w:val="0"/>
        <w:bidi w:val="0"/>
        <w:snapToGrid/>
        <w:spacing w:line="520" w:lineRule="exact"/>
        <w:ind w:firstLine="562" w:firstLineChars="200"/>
        <w:textAlignment w:val="center"/>
        <w:rPr>
          <w:rFonts w:hint="eastAsia" w:ascii="宋体" w:hAnsi="宋体" w:eastAsia="宋体" w:cs="宋体"/>
          <w:kern w:val="2"/>
          <w:sz w:val="28"/>
          <w:szCs w:val="28"/>
          <w:lang w:val="en-US" w:eastAsia="zh-CN" w:bidi="ar-SA"/>
        </w:rPr>
      </w:pPr>
      <w:r>
        <w:rPr>
          <w:rFonts w:hint="eastAsia" w:ascii="宋体" w:hAnsi="宋体" w:eastAsia="宋体" w:cs="宋体"/>
          <w:b/>
          <w:bCs/>
          <w:kern w:val="2"/>
          <w:sz w:val="28"/>
          <w:szCs w:val="28"/>
          <w:lang w:val="en-US" w:eastAsia="zh-CN" w:bidi="ar-SA"/>
        </w:rPr>
        <w:t>（三）项目产出方面</w:t>
      </w:r>
    </w:p>
    <w:p>
      <w:pPr>
        <w:keepNext w:val="0"/>
        <w:keepLines w:val="0"/>
        <w:pageBreakBefore w:val="0"/>
        <w:widowControl w:val="0"/>
        <w:kinsoku/>
        <w:wordWrap/>
        <w:overflowPunct/>
        <w:topLinePunct w:val="0"/>
        <w:autoSpaceDE/>
        <w:autoSpaceDN w:val="0"/>
        <w:bidi w:val="0"/>
        <w:snapToGrid/>
        <w:spacing w:line="520" w:lineRule="exact"/>
        <w:ind w:firstLine="562" w:firstLineChars="200"/>
        <w:textAlignment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1、产出数量任务完成情况</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完成建筑物及附属设施建设。新建1座污水处理厂，建筑物面积1520平方米，包括：粗格栅及提升泵站、细格栅及旋流沉砂池、AAO池、高效沉淀池、过滤池、消毒计量池、污泥脱水车间、加药间等污水处理构筑物，以及办公楼、机修间、值班室、鼓风机房、配电间、厂区道路、绿化、围墙、门卫和大门等附属配套设施。</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（2）污水处理能力未达标。2021年1-10月实际处理污水记录，平均约1800立方米/天，污水处理能力未达到5000立方米/天标准。</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textAlignment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（3）根据晨宇公司业务人员提供数据，主次管网长度共完成22692米，超额完成目标任务；检查井、沉泥井、阀门井、排气井、泄水井、跌水井按设计图完成。实际完成情况以竣工验收报告数据为准。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b/>
          <w:bCs/>
          <w:color w:val="000000"/>
          <w:sz w:val="28"/>
          <w:szCs w:val="28"/>
          <w:lang w:val="en-US" w:eastAsia="zh-CN"/>
        </w:rPr>
        <w:t>2、质量目标任务完成情况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（1）采购设施设备质量经晨宇公司项目经理审核验收合格，建筑安装工程竣工验收合格。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rPr>
      </w:pPr>
      <w:r>
        <w:rPr>
          <w:rFonts w:hint="eastAsia" w:ascii="宋体" w:hAnsi="宋体" w:eastAsia="宋体" w:cs="宋体"/>
          <w:color w:val="000000"/>
          <w:sz w:val="28"/>
          <w:szCs w:val="28"/>
          <w:lang w:val="en-US" w:eastAsia="zh-CN"/>
        </w:rPr>
        <w:t>（2）根据湖南亿科检测有限公司出具的《岳阳市云溪区长岭污水厂建设项目验收检测检测报告》[亿科检测（2021）第02-08号]对2021年2月23日至24日采样检测结果，所检测废水、地下水、废气、噪声内容均无“检出限+（ND)”结果。污水处理设施出水水质达到《城镇污水处理厂污染物排放标准》（GB18918-2002)中一级A标准。</w:t>
      </w:r>
    </w:p>
    <w:p>
      <w:pPr>
        <w:keepNext w:val="0"/>
        <w:keepLines w:val="0"/>
        <w:pageBreakBefore w:val="0"/>
        <w:widowControl w:val="0"/>
        <w:kinsoku/>
        <w:wordWrap/>
        <w:overflowPunct/>
        <w:topLinePunct w:val="0"/>
        <w:autoSpaceDE/>
        <w:bidi w:val="0"/>
        <w:adjustRightInd/>
        <w:snapToGrid/>
        <w:spacing w:line="520" w:lineRule="exact"/>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岳阳市“洞庭清波”问题整改挂帐已销号。本项目纳入洞庭湖生态环境突出问题整改不彻底项目，为进一步推进洞庭湖生态环境突出问题整改，根据省、市“洞庭清波”专项行动统一部署，本项目提标改造问题得到了彻底整改，按要求整改时间2020年12月30日完成了长岭污水处理厂的达标运行，经区住建局现场检查，市住建局审核同意，完成了“洞庭清波”问题整改挂帐销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i w:val="0"/>
          <w:color w:val="000000"/>
          <w:kern w:val="0"/>
          <w:sz w:val="28"/>
          <w:szCs w:val="28"/>
          <w:u w:val="none"/>
          <w:lang w:val="en-US" w:eastAsia="zh-CN" w:bidi="ar"/>
        </w:rPr>
        <w:t>3、时限目标完成情况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根据《工程竣工验收备案表》记录，项目于2020年4月21日开工，于2020年11月30日竣工验收，2020年12月4日竣工验收备案，于2020年1月1日交付运营单位运营，项目基本按目标时限完成。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4、建设成本控制目标</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项目</w:t>
      </w:r>
      <w:r>
        <w:rPr>
          <w:rFonts w:hint="eastAsia" w:ascii="宋体" w:hAnsi="宋体" w:eastAsia="宋体" w:cs="宋体"/>
          <w:color w:val="000000"/>
          <w:sz w:val="28"/>
          <w:szCs w:val="28"/>
          <w:lang w:val="en-US" w:eastAsia="zh-CN"/>
        </w:rPr>
        <w:t>建设成本</w:t>
      </w:r>
      <w:r>
        <w:rPr>
          <w:rFonts w:hint="eastAsia" w:ascii="宋体" w:hAnsi="宋体" w:eastAsia="宋体" w:cs="宋体"/>
          <w:color w:val="000000"/>
          <w:sz w:val="28"/>
          <w:szCs w:val="28"/>
        </w:rPr>
        <w:t>支出控制在预算成本范围内</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项目总承包合同价为11,154.57万元，</w:t>
      </w:r>
      <w:r>
        <w:rPr>
          <w:rFonts w:hint="eastAsia" w:ascii="宋体" w:hAnsi="宋体" w:eastAsia="宋体" w:cs="宋体"/>
          <w:b w:val="0"/>
          <w:bCs w:val="0"/>
          <w:color w:val="000000"/>
          <w:sz w:val="28"/>
          <w:szCs w:val="28"/>
          <w:lang w:val="en-US" w:eastAsia="zh-CN"/>
        </w:rPr>
        <w:t>2020年项目建设实际支出6,901.13万元、2021年1-8月支出1,844.32万元、应付未付工程相关合同进度款1,639.95万元</w:t>
      </w:r>
      <w:r>
        <w:rPr>
          <w:rFonts w:hint="eastAsia" w:ascii="宋体" w:hAnsi="宋体" w:eastAsia="宋体" w:cs="宋体"/>
          <w:color w:val="000000"/>
          <w:sz w:val="28"/>
          <w:szCs w:val="28"/>
          <w:lang w:val="en-US" w:eastAsia="zh-CN"/>
        </w:rPr>
        <w:t>，建设成本总额约10,385.4万元(未包含财评、决算审计等费用），控制在总概算范围内（项目前期无财评）。项目总成本最终决算审计金额为准。</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（2）运营期预期收入未达到预期目标。主要是污水处理能力远低于预期，</w:t>
      </w:r>
      <w:r>
        <w:rPr>
          <w:rFonts w:hint="eastAsia" w:ascii="宋体" w:hAnsi="宋体" w:eastAsia="宋体" w:cs="宋体"/>
          <w:b w:val="0"/>
          <w:bCs w:val="0"/>
          <w:color w:val="000000"/>
          <w:sz w:val="28"/>
          <w:szCs w:val="28"/>
          <w:highlight w:val="none"/>
          <w:lang w:val="en-US" w:eastAsia="zh-CN"/>
        </w:rPr>
        <w:t>居民生活用水收费标准按1.1元/吨m³收取未落实，</w:t>
      </w:r>
      <w:r>
        <w:rPr>
          <w:rFonts w:hint="eastAsia" w:ascii="宋体" w:hAnsi="宋体" w:eastAsia="宋体" w:cs="宋体"/>
          <w:b w:val="0"/>
          <w:bCs w:val="0"/>
          <w:color w:val="000000"/>
          <w:sz w:val="28"/>
          <w:szCs w:val="28"/>
          <w:lang w:val="en-US" w:eastAsia="zh-CN"/>
        </w:rPr>
        <w:t>2021年运营期未收取污水处理费</w:t>
      </w:r>
      <w:r>
        <w:rPr>
          <w:rFonts w:hint="eastAsia" w:ascii="宋体" w:hAnsi="宋体" w:eastAsia="宋体" w:cs="宋体"/>
          <w:b w:val="0"/>
          <w:bCs w:val="0"/>
          <w:color w:val="000000"/>
          <w:sz w:val="28"/>
          <w:szCs w:val="28"/>
          <w:highlight w:val="none"/>
          <w:lang w:val="en-US" w:eastAsia="zh-CN"/>
        </w:rPr>
        <w:t>。</w:t>
      </w:r>
    </w:p>
    <w:p>
      <w:pPr>
        <w:keepNext w:val="0"/>
        <w:keepLines w:val="0"/>
        <w:pageBreakBefore w:val="0"/>
        <w:widowControl w:val="0"/>
        <w:kinsoku/>
        <w:wordWrap/>
        <w:overflowPunct/>
        <w:topLinePunct w:val="0"/>
        <w:autoSpaceDE/>
        <w:bidi w:val="0"/>
        <w:snapToGrid/>
        <w:spacing w:line="520" w:lineRule="exact"/>
        <w:ind w:firstLine="560" w:firstLineChars="200"/>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color w:val="000000"/>
          <w:sz w:val="28"/>
          <w:szCs w:val="28"/>
          <w:lang w:val="en-US" w:eastAsia="zh-CN"/>
        </w:rPr>
        <w:t>（3）2021年已由财政垫付（后期扣回）项目利息116.1万元，完成年度应付利息，</w:t>
      </w:r>
      <w:r>
        <w:rPr>
          <w:rFonts w:hint="eastAsia" w:ascii="宋体" w:hAnsi="宋体" w:eastAsia="宋体" w:cs="宋体"/>
          <w:color w:val="000000"/>
          <w:sz w:val="28"/>
          <w:szCs w:val="28"/>
          <w:highlight w:val="none"/>
        </w:rPr>
        <w:t>付息率100%。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5、项目使用效果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80" w:firstLineChars="100"/>
        <w:textAlignment w:val="auto"/>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项目设施设备均在使用中，设施设备正常运行，</w:t>
      </w:r>
      <w:r>
        <w:rPr>
          <w:rFonts w:hint="eastAsia" w:ascii="宋体" w:hAnsi="宋体" w:eastAsia="宋体" w:cs="宋体"/>
          <w:b w:val="0"/>
          <w:bCs w:val="0"/>
          <w:color w:val="000000"/>
          <w:sz w:val="28"/>
          <w:szCs w:val="28"/>
          <w:lang w:val="en-US" w:eastAsia="zh-CN"/>
        </w:rPr>
        <w:t>项目使用效果较好。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6、项目效果及使用者满意度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(1)经济效益：至2020年10月末，项目运营期暂未产生</w:t>
      </w:r>
      <w:r>
        <w:rPr>
          <w:rFonts w:hint="eastAsia" w:ascii="宋体" w:hAnsi="宋体" w:eastAsia="宋体" w:cs="宋体"/>
          <w:b w:val="0"/>
          <w:bCs w:val="0"/>
          <w:color w:val="000000"/>
          <w:sz w:val="28"/>
          <w:szCs w:val="28"/>
          <w:highlight w:val="none"/>
          <w:lang w:val="en-US" w:eastAsia="zh-CN"/>
        </w:rPr>
        <w:t>污水处理收费收入。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(2)社会效益：调整了生态、改善水环境质量，社会反馈良好。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(3)环境影响：达到减排要求，施工期制订污染防治措施，运营期废水、废气、固体废物、地下水等污染防治措施，达到岳阳市生态环境局云溪分局要求标准。</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(4)可持续性：本项目为重要民生项目，是国家扶持项目，有稳定收入来源，有专业运营公司运营，定期对设施设备维修保养，项目可持续能力较强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(5）社会资本投入：项目实施，带动晨宇公司建设期资金投入达73%。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color w:val="000000"/>
          <w:sz w:val="28"/>
          <w:szCs w:val="28"/>
          <w:lang w:val="en-US" w:eastAsia="zh-CN"/>
        </w:rPr>
        <w:t>(6)社会公众及运营单位职工对项目建设规模及质量</w:t>
      </w:r>
      <w:r>
        <w:rPr>
          <w:rFonts w:hint="eastAsia" w:ascii="宋体" w:hAnsi="宋体" w:eastAsia="宋体" w:cs="宋体"/>
          <w:sz w:val="28"/>
          <w:szCs w:val="28"/>
        </w:rPr>
        <w:t>满意度</w:t>
      </w:r>
      <w:r>
        <w:rPr>
          <w:rFonts w:hint="eastAsia" w:ascii="宋体" w:hAnsi="宋体" w:eastAsia="宋体" w:cs="宋体"/>
          <w:sz w:val="28"/>
          <w:szCs w:val="28"/>
          <w:lang w:val="en-US" w:eastAsia="zh-CN"/>
        </w:rPr>
        <w:t>达85</w:t>
      </w:r>
      <w:r>
        <w:rPr>
          <w:rFonts w:hint="eastAsia" w:ascii="宋体" w:hAnsi="宋体" w:eastAsia="宋体" w:cs="宋体"/>
          <w:sz w:val="28"/>
          <w:szCs w:val="28"/>
        </w:rPr>
        <w:t>%</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0" w:leftChars="0"/>
        <w:textAlignment w:val="auto"/>
        <w:rPr>
          <w:rFonts w:hint="eastAsia" w:ascii="宋体" w:hAnsi="宋体" w:eastAsia="宋体" w:cs="宋体"/>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存在的问题</w:t>
      </w:r>
      <w:r>
        <w:rPr>
          <w:rFonts w:hint="eastAsia" w:ascii="宋体" w:hAnsi="宋体" w:eastAsia="宋体" w:cs="宋体"/>
          <w:b/>
          <w:bCs/>
          <w:sz w:val="28"/>
          <w:szCs w:val="28"/>
          <w:lang w:eastAsia="zh-CN"/>
        </w:rPr>
        <w:t>及建议</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142" w:leftChars="0" w:firstLine="562" w:firstLineChars="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存在问题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1、未获得施工许可证提前开工，不合规。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sz w:val="28"/>
          <w:szCs w:val="28"/>
          <w:lang w:val="en-US" w:eastAsia="zh-CN"/>
        </w:rPr>
        <w:t>项目建设实际开工为</w:t>
      </w:r>
      <w:r>
        <w:rPr>
          <w:rFonts w:hint="eastAsia" w:ascii="宋体" w:hAnsi="宋体" w:eastAsia="宋体" w:cs="宋体"/>
          <w:spacing w:val="8"/>
          <w:sz w:val="28"/>
          <w:szCs w:val="28"/>
        </w:rPr>
        <w:t>2020年4月2</w:t>
      </w:r>
      <w:r>
        <w:rPr>
          <w:rFonts w:hint="eastAsia" w:ascii="宋体" w:hAnsi="宋体" w:eastAsia="宋体" w:cs="宋体"/>
          <w:spacing w:val="8"/>
          <w:sz w:val="28"/>
          <w:szCs w:val="28"/>
          <w:lang w:val="en-US" w:eastAsia="zh-CN"/>
        </w:rPr>
        <w:t>1</w:t>
      </w:r>
      <w:r>
        <w:rPr>
          <w:rFonts w:hint="eastAsia" w:ascii="宋体" w:hAnsi="宋体" w:eastAsia="宋体" w:cs="宋体"/>
          <w:spacing w:val="8"/>
          <w:sz w:val="28"/>
          <w:szCs w:val="28"/>
        </w:rPr>
        <w:t>日</w:t>
      </w:r>
      <w:r>
        <w:rPr>
          <w:rFonts w:hint="eastAsia" w:ascii="宋体" w:hAnsi="宋体" w:eastAsia="宋体" w:cs="宋体"/>
          <w:b w:val="0"/>
          <w:bCs w:val="0"/>
          <w:sz w:val="28"/>
          <w:szCs w:val="28"/>
          <w:lang w:val="en-US" w:eastAsia="zh-CN"/>
        </w:rPr>
        <w:t>，获得建筑工程施工许可证时间为2020年7月9日，本项目未获得施工许可，提前开工建设。</w:t>
      </w:r>
      <w:r>
        <w:rPr>
          <w:rFonts w:hint="eastAsia" w:ascii="宋体" w:hAnsi="宋体" w:eastAsia="宋体" w:cs="宋体"/>
          <w:b w:val="0"/>
          <w:bCs w:val="0"/>
          <w:color w:val="auto"/>
          <w:sz w:val="28"/>
          <w:szCs w:val="28"/>
          <w:lang w:val="en-US" w:eastAsia="zh-CN"/>
        </w:rPr>
        <w:t>根据相关规定，凡未取得建筑工程施工许可证擅自施工的属违法建设。</w:t>
      </w:r>
    </w:p>
    <w:p>
      <w:pPr>
        <w:keepNext w:val="0"/>
        <w:keepLines w:val="0"/>
        <w:pageBreakBefore w:val="0"/>
        <w:widowControl w:val="0"/>
        <w:kinsoku/>
        <w:wordWrap/>
        <w:overflowPunct/>
        <w:topLinePunct w:val="0"/>
        <w:autoSpaceDE/>
        <w:autoSpaceDN w:val="0"/>
        <w:bidi w:val="0"/>
        <w:snapToGrid/>
        <w:spacing w:line="520" w:lineRule="exact"/>
        <w:ind w:firstLine="562" w:firstLineChars="200"/>
        <w:textAlignment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、项目</w:t>
      </w:r>
      <w:r>
        <w:rPr>
          <w:rFonts w:hint="eastAsia" w:ascii="宋体" w:hAnsi="宋体" w:eastAsia="宋体" w:cs="宋体"/>
          <w:b/>
          <w:bCs/>
          <w:sz w:val="28"/>
          <w:szCs w:val="28"/>
          <w:lang w:val="en-US" w:eastAsia="zh-CN"/>
        </w:rPr>
        <w:t>绩效管理不到位。</w:t>
      </w:r>
    </w:p>
    <w:p>
      <w:pPr>
        <w:keepNext w:val="0"/>
        <w:keepLines w:val="0"/>
        <w:pageBreakBefore w:val="0"/>
        <w:widowControl w:val="0"/>
        <w:kinsoku/>
        <w:wordWrap/>
        <w:overflowPunct/>
        <w:topLinePunct w:val="0"/>
        <w:autoSpaceDE/>
        <w:autoSpaceDN w:val="0"/>
        <w:bidi w:val="0"/>
        <w:snapToGrid/>
        <w:spacing w:line="520" w:lineRule="exact"/>
        <w:ind w:firstLine="562" w:firstLineChars="200"/>
        <w:textAlignment w:val="center"/>
        <w:rPr>
          <w:rFonts w:hint="eastAsia" w:ascii="宋体" w:hAnsi="宋体" w:eastAsia="宋体" w:cs="宋体"/>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1）项目</w:t>
      </w:r>
      <w:r>
        <w:rPr>
          <w:rFonts w:hint="eastAsia" w:ascii="宋体" w:hAnsi="宋体" w:eastAsia="宋体" w:cs="宋体"/>
          <w:b/>
          <w:bCs/>
          <w:sz w:val="28"/>
          <w:szCs w:val="28"/>
        </w:rPr>
        <w:t>未进行绩效评估</w:t>
      </w:r>
      <w:r>
        <w:rPr>
          <w:rFonts w:hint="eastAsia" w:ascii="宋体" w:hAnsi="宋体" w:eastAsia="宋体" w:cs="宋体"/>
          <w:b/>
          <w:bCs/>
          <w:sz w:val="28"/>
          <w:szCs w:val="28"/>
          <w:lang w:eastAsia="zh-CN"/>
        </w:rPr>
        <w:t>。</w:t>
      </w:r>
      <w:r>
        <w:rPr>
          <w:rFonts w:hint="eastAsia" w:ascii="宋体" w:hAnsi="宋体" w:eastAsia="宋体" w:cs="宋体"/>
          <w:color w:val="000000"/>
          <w:sz w:val="28"/>
          <w:szCs w:val="28"/>
        </w:rPr>
        <w:t>本项目申报政府债券需求时，对项目未进行事前</w:t>
      </w:r>
      <w:r>
        <w:rPr>
          <w:rFonts w:hint="eastAsia" w:ascii="宋体" w:hAnsi="宋体" w:eastAsia="宋体" w:cs="宋体"/>
          <w:color w:val="000000"/>
          <w:sz w:val="28"/>
          <w:szCs w:val="28"/>
          <w:lang w:val="en-US" w:eastAsia="zh-CN"/>
        </w:rPr>
        <w:t>绩效</w:t>
      </w:r>
      <w:r>
        <w:rPr>
          <w:rFonts w:hint="eastAsia" w:ascii="宋体" w:hAnsi="宋体" w:eastAsia="宋体" w:cs="宋体"/>
          <w:color w:val="000000"/>
          <w:sz w:val="28"/>
          <w:szCs w:val="28"/>
        </w:rPr>
        <w:t>绩效评估，不符合《湖南省政府债务项目绩效管理暂行办法》将评估结果作为项目立项</w:t>
      </w:r>
      <w:r>
        <w:rPr>
          <w:rFonts w:hint="eastAsia" w:ascii="宋体" w:hAnsi="宋体" w:eastAsia="宋体" w:cs="宋体"/>
          <w:sz w:val="28"/>
          <w:szCs w:val="28"/>
        </w:rPr>
        <w:t>的必要条件的要求，立项程序不规范。</w:t>
      </w:r>
    </w:p>
    <w:p>
      <w:pPr>
        <w:keepNext w:val="0"/>
        <w:keepLines w:val="0"/>
        <w:pageBreakBefore w:val="0"/>
        <w:widowControl w:val="0"/>
        <w:kinsoku/>
        <w:wordWrap/>
        <w:overflowPunct/>
        <w:topLinePunct w:val="0"/>
        <w:autoSpaceDE/>
        <w:autoSpaceDN w:val="0"/>
        <w:bidi w:val="0"/>
        <w:snapToGrid/>
        <w:spacing w:line="520" w:lineRule="exact"/>
        <w:ind w:firstLine="562" w:firstLineChars="200"/>
        <w:textAlignment w:val="center"/>
        <w:rPr>
          <w:rFonts w:hint="eastAsia" w:ascii="宋体" w:hAnsi="宋体" w:eastAsia="宋体" w:cs="宋体"/>
          <w:color w:val="000000"/>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项目申报时未编制绩效目标。</w:t>
      </w:r>
      <w:r>
        <w:rPr>
          <w:rFonts w:hint="eastAsia" w:ascii="宋体" w:hAnsi="宋体" w:eastAsia="宋体" w:cs="宋体"/>
          <w:sz w:val="28"/>
          <w:szCs w:val="28"/>
        </w:rPr>
        <w:t>项目相关单位在项目申报时，未编制项目实施期绩效目标和年度绩效目标，明确政府债券项</w:t>
      </w:r>
      <w:r>
        <w:rPr>
          <w:rFonts w:hint="eastAsia" w:ascii="宋体" w:hAnsi="宋体" w:eastAsia="宋体" w:cs="宋体"/>
          <w:color w:val="000000"/>
          <w:sz w:val="28"/>
          <w:szCs w:val="28"/>
        </w:rPr>
        <w:t>目在全生命周期内及每一年度内预期达到的产出和效果。不符合《湖南省政府债务项目绩效管理暂行办法》要求。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3、未按合同条款履约。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shd w:val="clear" w:color="auto" w:fill="FFFFFF"/>
          <w:lang w:val="en-US" w:eastAsia="zh-CN"/>
        </w:rPr>
      </w:pPr>
      <w:r>
        <w:rPr>
          <w:rFonts w:hint="eastAsia" w:ascii="宋体" w:hAnsi="宋体" w:eastAsia="宋体" w:cs="宋体"/>
          <w:b w:val="0"/>
          <w:bCs w:val="0"/>
          <w:sz w:val="28"/>
          <w:szCs w:val="28"/>
          <w:lang w:val="en-US" w:eastAsia="zh-CN"/>
        </w:rPr>
        <w:t>项目总承包中标单位未</w:t>
      </w:r>
      <w:r>
        <w:rPr>
          <w:rFonts w:hint="eastAsia" w:ascii="宋体" w:hAnsi="宋体" w:eastAsia="宋体" w:cs="宋体"/>
          <w:b w:val="0"/>
          <w:bCs w:val="0"/>
          <w:sz w:val="28"/>
          <w:szCs w:val="28"/>
          <w:highlight w:val="none"/>
          <w:lang w:val="en-US" w:eastAsia="zh-CN"/>
        </w:rPr>
        <w:t>按照合同约定及法律法规规定，项目建设期购买建筑安装工程一切险、财产一切险、第三者责任险等保险；未按合同规定制订</w:t>
      </w:r>
      <w:r>
        <w:rPr>
          <w:rFonts w:hint="eastAsia" w:ascii="宋体" w:hAnsi="宋体" w:eastAsia="宋体" w:cs="宋体"/>
          <w:b w:val="0"/>
          <w:bCs w:val="0"/>
          <w:color w:val="auto"/>
          <w:sz w:val="28"/>
          <w:szCs w:val="28"/>
          <w:shd w:val="clear" w:color="auto" w:fill="FFFFFF"/>
          <w:lang w:val="en-US" w:eastAsia="zh-CN"/>
        </w:rPr>
        <w:t>竣工试验方案，项目监理单位未按合同要求发出开工令。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shd w:val="clear" w:color="auto" w:fill="FFFFFF"/>
          <w:lang w:val="en-US" w:eastAsia="zh-CN"/>
        </w:rPr>
        <w:t>总承包合同</w:t>
      </w:r>
      <w:r>
        <w:rPr>
          <w:rFonts w:hint="eastAsia" w:ascii="宋体" w:hAnsi="宋体" w:eastAsia="宋体" w:cs="宋体"/>
          <w:b/>
          <w:bCs/>
          <w:color w:val="auto"/>
          <w:sz w:val="28"/>
          <w:szCs w:val="28"/>
          <w:highlight w:val="none"/>
          <w:lang w:val="en-US" w:eastAsia="zh-CN"/>
        </w:rPr>
        <w:t>内容超范围，无发改部门</w:t>
      </w:r>
      <w:r>
        <w:rPr>
          <w:rFonts w:hint="eastAsia" w:ascii="宋体" w:hAnsi="宋体" w:eastAsia="宋体" w:cs="宋体"/>
          <w:b/>
          <w:bCs/>
          <w:color w:val="auto"/>
          <w:sz w:val="28"/>
          <w:szCs w:val="28"/>
          <w:shd w:val="clear" w:color="auto" w:fill="FFFFFF"/>
          <w:lang w:val="en-US" w:eastAsia="zh-CN"/>
        </w:rPr>
        <w:t>初步设计概算的批复。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shd w:val="clear" w:color="auto" w:fill="FFFFFF"/>
          <w:lang w:val="en-US" w:eastAsia="zh-CN"/>
        </w:rPr>
      </w:pPr>
      <w:r>
        <w:rPr>
          <w:rFonts w:hint="eastAsia" w:ascii="宋体" w:hAnsi="宋体" w:eastAsia="宋体" w:cs="宋体"/>
          <w:b w:val="0"/>
          <w:bCs w:val="0"/>
          <w:color w:val="auto"/>
          <w:sz w:val="28"/>
          <w:szCs w:val="28"/>
          <w:shd w:val="clear" w:color="auto" w:fill="FFFFFF"/>
          <w:lang w:val="en-US" w:eastAsia="zh-CN"/>
        </w:rPr>
        <w:t>（1）总承包合同总额超工程内容范围。晨宇公司与联合中标单位签订设计采购施工总承包合同金额为11,154.57万元，其中实际工程费用为8,962.81万元，</w:t>
      </w:r>
      <w:r>
        <w:rPr>
          <w:rFonts w:hint="eastAsia" w:ascii="宋体" w:hAnsi="宋体" w:eastAsia="宋体" w:cs="宋体"/>
          <w:b w:val="0"/>
          <w:bCs w:val="0"/>
          <w:color w:val="auto"/>
          <w:sz w:val="28"/>
          <w:szCs w:val="28"/>
          <w:highlight w:val="none"/>
          <w:lang w:val="en-US" w:eastAsia="zh-CN"/>
        </w:rPr>
        <w:t>超工程承包范围</w:t>
      </w:r>
      <w:r>
        <w:rPr>
          <w:rFonts w:hint="eastAsia" w:ascii="宋体" w:hAnsi="宋体" w:eastAsia="宋体" w:cs="宋体"/>
          <w:b w:val="0"/>
          <w:bCs w:val="0"/>
          <w:color w:val="auto"/>
          <w:sz w:val="28"/>
          <w:szCs w:val="28"/>
          <w:shd w:val="clear" w:color="auto" w:fill="FFFFFF"/>
          <w:lang w:val="en-US" w:eastAsia="zh-CN"/>
        </w:rPr>
        <w:t>费用2191.76万元。 一是其他费用1067.69万元，包括建设用地费、建设单位管理费、建设工程监理费及项目可研、勘察、设计、招标代理等前期费用；二是专项费用121.02万元，主要为建设期利息。三是预备费用1003.05万元，主要为基本预备费及价差预备费。</w:t>
      </w:r>
      <w:r>
        <w:rPr>
          <w:rFonts w:hint="eastAsia" w:ascii="宋体" w:hAnsi="宋体" w:eastAsia="宋体" w:cs="宋体"/>
          <w:b w:val="0"/>
          <w:bCs w:val="0"/>
          <w:color w:val="auto"/>
          <w:sz w:val="28"/>
          <w:szCs w:val="28"/>
          <w:highlight w:val="none"/>
          <w:lang w:val="en-US" w:eastAsia="zh-CN"/>
        </w:rPr>
        <w:t>超工程承包范围</w:t>
      </w:r>
      <w:r>
        <w:rPr>
          <w:rFonts w:hint="eastAsia" w:ascii="宋体" w:hAnsi="宋体" w:eastAsia="宋体" w:cs="宋体"/>
          <w:b w:val="0"/>
          <w:bCs w:val="0"/>
          <w:color w:val="auto"/>
          <w:sz w:val="28"/>
          <w:szCs w:val="28"/>
          <w:shd w:val="clear" w:color="auto" w:fill="FFFFFF"/>
          <w:lang w:val="en-US" w:eastAsia="zh-CN"/>
        </w:rPr>
        <w:t>费用实为晨宇公司支出项目费用，并非施工单位工程费用支出，</w:t>
      </w:r>
      <w:r>
        <w:rPr>
          <w:rFonts w:hint="eastAsia" w:ascii="宋体" w:hAnsi="宋体" w:eastAsia="宋体" w:cs="宋体"/>
          <w:b w:val="0"/>
          <w:bCs w:val="0"/>
          <w:color w:val="auto"/>
          <w:sz w:val="28"/>
          <w:szCs w:val="28"/>
          <w:highlight w:val="none"/>
          <w:lang w:val="en-US" w:eastAsia="zh-CN"/>
        </w:rPr>
        <w:t>超出工程承包范围，</w:t>
      </w:r>
      <w:r>
        <w:rPr>
          <w:rFonts w:hint="eastAsia" w:ascii="宋体" w:hAnsi="宋体" w:eastAsia="宋体" w:cs="宋体"/>
          <w:b w:val="0"/>
          <w:bCs w:val="0"/>
          <w:color w:val="auto"/>
          <w:sz w:val="28"/>
          <w:szCs w:val="28"/>
          <w:shd w:val="clear" w:color="auto" w:fill="FFFFFF"/>
          <w:lang w:val="en-US" w:eastAsia="zh-CN"/>
        </w:rPr>
        <w:t>总承包合同</w:t>
      </w:r>
      <w:r>
        <w:rPr>
          <w:rFonts w:hint="eastAsia" w:ascii="宋体" w:hAnsi="宋体" w:eastAsia="宋体" w:cs="宋体"/>
          <w:b w:val="0"/>
          <w:bCs w:val="0"/>
          <w:color w:val="auto"/>
          <w:sz w:val="28"/>
          <w:szCs w:val="28"/>
          <w:highlight w:val="none"/>
          <w:lang w:val="en-US" w:eastAsia="zh-CN"/>
        </w:rPr>
        <w:t>内容不合规。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shd w:val="clear" w:color="auto" w:fill="FFFFFF"/>
          <w:lang w:val="en-US" w:eastAsia="zh-CN"/>
        </w:rPr>
      </w:pPr>
      <w:r>
        <w:rPr>
          <w:rFonts w:hint="eastAsia" w:ascii="宋体" w:hAnsi="宋体" w:eastAsia="宋体" w:cs="宋体"/>
          <w:b w:val="0"/>
          <w:bCs w:val="0"/>
          <w:color w:val="auto"/>
          <w:sz w:val="28"/>
          <w:szCs w:val="28"/>
          <w:shd w:val="clear" w:color="auto" w:fill="FFFFFF"/>
          <w:lang w:val="en-US" w:eastAsia="zh-CN"/>
        </w:rPr>
        <w:t>（2）无初步设计概算的批复。项目未得到岳阳市发改委或云溪区发改局初步设计概算的批复，审查核定项目初步概算资金，而是按初步设计《总概算表》（经区住建局初步设计审查的批复）金额进行招投标报价，所以总承包合同中标金额为11154.57万元，与立项投资总估算价11155.13万元仅相差0.56万元，总承包合同价格未得到有效的审核控制 。</w:t>
      </w:r>
    </w:p>
    <w:p>
      <w:pPr>
        <w:keepNext w:val="0"/>
        <w:keepLines w:val="0"/>
        <w:pageBreakBefore w:val="0"/>
        <w:widowControl w:val="0"/>
        <w:numPr>
          <w:ilvl w:val="0"/>
          <w:numId w:val="0"/>
        </w:numPr>
        <w:kinsoku/>
        <w:wordWrap/>
        <w:overflowPunct/>
        <w:topLinePunct w:val="0"/>
        <w:autoSpaceDE/>
        <w:autoSpaceDN w:val="0"/>
        <w:bidi w:val="0"/>
        <w:snapToGrid/>
        <w:spacing w:line="520" w:lineRule="exact"/>
        <w:ind w:firstLine="562" w:firstLineChars="200"/>
        <w:textAlignment w:val="cente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5、2021年实际与</w:t>
      </w:r>
      <w:r>
        <w:rPr>
          <w:rFonts w:hint="eastAsia" w:ascii="宋体" w:hAnsi="宋体" w:eastAsia="宋体" w:cs="宋体"/>
          <w:b/>
          <w:bCs/>
          <w:sz w:val="28"/>
          <w:szCs w:val="28"/>
        </w:rPr>
        <w:t>预期</w:t>
      </w:r>
      <w:r>
        <w:rPr>
          <w:rFonts w:hint="eastAsia" w:ascii="宋体" w:hAnsi="宋体" w:eastAsia="宋体" w:cs="宋体"/>
          <w:b/>
          <w:bCs/>
          <w:sz w:val="28"/>
          <w:szCs w:val="28"/>
          <w:lang w:val="en-US" w:eastAsia="zh-CN"/>
        </w:rPr>
        <w:t>收入、成本存在较大差距</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val="0"/>
        <w:bidi w:val="0"/>
        <w:snapToGrid/>
        <w:spacing w:line="520" w:lineRule="exact"/>
        <w:ind w:firstLine="560" w:firstLineChars="200"/>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1）2021年污水处理收入未达到预期。</w:t>
      </w:r>
      <w:r>
        <w:rPr>
          <w:rFonts w:hint="eastAsia" w:ascii="宋体" w:hAnsi="宋体" w:eastAsia="宋体" w:cs="宋体"/>
          <w:sz w:val="28"/>
          <w:szCs w:val="28"/>
        </w:rPr>
        <w:t>根据《融资平衡方案》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估算2021年营业收入为701.5万元，其中：污水处理收入为401.5万元、财政补贴收入为300万元。至2021年10月止，居民污水处理费用未收取，污水处理收入</w:t>
      </w:r>
      <w:r>
        <w:rPr>
          <w:rFonts w:hint="eastAsia" w:ascii="宋体" w:hAnsi="宋体" w:eastAsia="宋体" w:cs="宋体"/>
          <w:b w:val="0"/>
          <w:bCs w:val="0"/>
          <w:sz w:val="28"/>
          <w:szCs w:val="28"/>
          <w:lang w:val="en-US" w:eastAsia="zh-CN"/>
        </w:rPr>
        <w:t>为0，</w:t>
      </w:r>
      <w:r>
        <w:rPr>
          <w:rFonts w:hint="eastAsia" w:ascii="宋体" w:hAnsi="宋体" w:eastAsia="宋体" w:cs="宋体"/>
          <w:sz w:val="28"/>
          <w:szCs w:val="28"/>
          <w:lang w:val="en-US" w:eastAsia="zh-CN"/>
        </w:rPr>
        <w:t>财政补贴收入已抵减运营合同款及债券利息支出298.53万元。</w:t>
      </w:r>
      <w:r>
        <w:rPr>
          <w:rFonts w:hint="eastAsia" w:ascii="宋体" w:hAnsi="宋体" w:eastAsia="宋体" w:cs="宋体"/>
          <w:b w:val="0"/>
          <w:bCs w:val="0"/>
          <w:sz w:val="28"/>
          <w:szCs w:val="28"/>
          <w:lang w:val="en-US" w:eastAsia="zh-CN"/>
        </w:rPr>
        <w:t>2021年实际收入与</w:t>
      </w:r>
      <w:r>
        <w:rPr>
          <w:rFonts w:hint="eastAsia" w:ascii="宋体" w:hAnsi="宋体" w:eastAsia="宋体" w:cs="宋体"/>
          <w:b w:val="0"/>
          <w:bCs w:val="0"/>
          <w:sz w:val="28"/>
          <w:szCs w:val="28"/>
        </w:rPr>
        <w:t>预期</w:t>
      </w:r>
      <w:r>
        <w:rPr>
          <w:rFonts w:hint="eastAsia" w:ascii="宋体" w:hAnsi="宋体" w:eastAsia="宋体" w:cs="宋体"/>
          <w:b w:val="0"/>
          <w:bCs w:val="0"/>
          <w:sz w:val="28"/>
          <w:szCs w:val="28"/>
          <w:lang w:val="en-US" w:eastAsia="zh-CN"/>
        </w:rPr>
        <w:t>收入存在较大差距。原因：</w:t>
      </w:r>
      <w:r>
        <w:rPr>
          <w:rFonts w:hint="eastAsia" w:ascii="宋体" w:hAnsi="宋体" w:eastAsia="宋体" w:cs="宋体"/>
          <w:sz w:val="28"/>
          <w:szCs w:val="28"/>
          <w:lang w:val="en-US" w:eastAsia="zh-CN"/>
        </w:rPr>
        <w:t>运营期污水处理收入因污水处理规模未达标、污水处理费伴水征收尚未出台正式文件，收费标准未确定。</w:t>
      </w:r>
    </w:p>
    <w:p>
      <w:pPr>
        <w:keepNext w:val="0"/>
        <w:keepLines w:val="0"/>
        <w:pageBreakBefore w:val="0"/>
        <w:widowControl w:val="0"/>
        <w:numPr>
          <w:ilvl w:val="0"/>
          <w:numId w:val="0"/>
        </w:numPr>
        <w:kinsoku/>
        <w:wordWrap/>
        <w:overflowPunct/>
        <w:topLinePunct w:val="0"/>
        <w:autoSpaceDE/>
        <w:autoSpaceDN w:val="0"/>
        <w:bidi w:val="0"/>
        <w:snapToGrid/>
        <w:spacing w:line="520" w:lineRule="exact"/>
        <w:ind w:firstLine="560" w:firstLineChars="200"/>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（2）经营成本超出预期。</w:t>
      </w:r>
      <w:r>
        <w:rPr>
          <w:rFonts w:hint="eastAsia" w:ascii="宋体" w:hAnsi="宋体" w:eastAsia="宋体" w:cs="宋体"/>
          <w:sz w:val="28"/>
          <w:szCs w:val="28"/>
        </w:rPr>
        <w:t>根据《融资平衡方案》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估算2021年运营总成本为273.01万元，其中：经营成本为84.51万元，利息成本为188.5万元。实际成本支出298.53万元，其中，2021年经营性支出（应支付运营承包方湖南迈青公司合同款）182.43万元，实际经营成本超出预期的2.1倍；专项债券利息支出116.1万元，比预期减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lang w:val="en-US" w:eastAsia="zh-CN"/>
        </w:rPr>
        <w:t>6、污水收集率低，污水处理规模未达标。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2019年9月19日，市发改委立项批复，项目建设规模为“新建污水处理厂处理能力为1.0万m³/d”；2020年2月26日，区住建局对项目初步设计审查的批复为“污水处理厂处理规模为1.0万m³/d，土建按照1.0万m³/d建设，设备根据实际水量分两期配置，一期按0.5万m³/d配置，二期按1.0万m³/d配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sz w:val="28"/>
          <w:szCs w:val="28"/>
          <w:lang w:val="en-US" w:eastAsia="zh-CN"/>
        </w:rPr>
        <w:t>抽查2021年运行相关记录，实际污水处理规模约为</w:t>
      </w:r>
      <w:r>
        <w:rPr>
          <w:rFonts w:hint="eastAsia" w:ascii="宋体" w:hAnsi="宋体" w:eastAsia="宋体" w:cs="宋体"/>
          <w:color w:val="000000"/>
          <w:sz w:val="28"/>
          <w:szCs w:val="28"/>
          <w:lang w:val="en-US" w:eastAsia="zh-CN"/>
        </w:rPr>
        <w:t>0.18万</w:t>
      </w:r>
      <w:r>
        <w:rPr>
          <w:rFonts w:hint="eastAsia" w:ascii="宋体" w:hAnsi="宋体" w:eastAsia="宋体" w:cs="宋体"/>
          <w:b w:val="0"/>
          <w:bCs w:val="0"/>
          <w:sz w:val="28"/>
          <w:szCs w:val="28"/>
          <w:lang w:val="en-US" w:eastAsia="zh-CN"/>
        </w:rPr>
        <w:t>m3/d</w:t>
      </w:r>
      <w:r>
        <w:rPr>
          <w:rFonts w:hint="eastAsia" w:ascii="宋体" w:hAnsi="宋体" w:eastAsia="宋体" w:cs="宋体"/>
          <w:sz w:val="28"/>
          <w:szCs w:val="28"/>
          <w:lang w:val="en-US" w:eastAsia="zh-CN"/>
        </w:rPr>
        <w:t>左右，只相当0.5万m³/d配置污水处理规模的36%，</w:t>
      </w:r>
      <w:r>
        <w:rPr>
          <w:rFonts w:hint="eastAsia" w:ascii="宋体" w:hAnsi="宋体" w:eastAsia="宋体" w:cs="宋体"/>
          <w:b w:val="0"/>
          <w:bCs w:val="0"/>
          <w:color w:val="auto"/>
          <w:sz w:val="28"/>
          <w:szCs w:val="28"/>
          <w:lang w:val="en-US" w:eastAsia="zh-CN"/>
        </w:rPr>
        <w:t>污水处理规模未达标，建设规模大于实际需求</w:t>
      </w:r>
      <w:r>
        <w:rPr>
          <w:rFonts w:hint="eastAsia" w:ascii="宋体" w:hAnsi="宋体" w:eastAsia="宋体" w:cs="宋体"/>
          <w:b/>
          <w:bCs/>
          <w:color w:val="auto"/>
          <w:sz w:val="28"/>
          <w:szCs w:val="28"/>
          <w:lang w:val="en-US" w:eastAsia="zh-CN"/>
        </w:rPr>
        <w:t>，</w:t>
      </w:r>
      <w:r>
        <w:rPr>
          <w:rFonts w:hint="eastAsia" w:ascii="宋体" w:hAnsi="宋体" w:eastAsia="宋体" w:cs="宋体"/>
          <w:b w:val="0"/>
          <w:bCs w:val="0"/>
          <w:color w:val="auto"/>
          <w:sz w:val="28"/>
          <w:szCs w:val="28"/>
          <w:lang w:val="en-US" w:eastAsia="zh-CN"/>
        </w:rPr>
        <w:t>严重影响预期收入的实现。</w:t>
      </w:r>
    </w:p>
    <w:p>
      <w:pPr>
        <w:keepNext w:val="0"/>
        <w:keepLines w:val="0"/>
        <w:pageBreakBefore w:val="0"/>
        <w:widowControl w:val="0"/>
        <w:kinsoku/>
        <w:wordWrap/>
        <w:overflowPunct/>
        <w:topLinePunct w:val="0"/>
        <w:autoSpaceDE/>
        <w:bidi w:val="0"/>
        <w:snapToGrid/>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b w:val="0"/>
          <w:bCs w:val="0"/>
          <w:color w:val="auto"/>
          <w:sz w:val="28"/>
          <w:szCs w:val="28"/>
          <w:lang w:val="en-US" w:eastAsia="zh-CN"/>
        </w:rPr>
        <w:t>原因：一是预测统计项目范围内受益人口按户籍统计，未考虑长岭生活区人口（占总预测人口的42%）大多居住在岳阳市，项目范围内村镇人口大多在外务工，在家务农人口较少等实际情况，人口数据统计不准确 ，造成污水量排放数据不准。二是因多种原因，实项目范围内污水收集率未达到100%。</w:t>
      </w:r>
      <w:r>
        <w:rPr>
          <w:rFonts w:hint="eastAsia" w:ascii="宋体" w:hAnsi="宋体" w:eastAsia="宋体" w:cs="宋体"/>
          <w:color w:val="auto"/>
          <w:sz w:val="28"/>
          <w:szCs w:val="28"/>
          <w:lang w:val="en-US" w:eastAsia="zh-CN"/>
        </w:rPr>
        <w:t>云溪区政府已向市住房和城乡建设局致函说明服务人口问题</w:t>
      </w:r>
      <w:r>
        <w:rPr>
          <w:rFonts w:hint="eastAsia" w:ascii="宋体" w:hAnsi="宋体" w:eastAsia="宋体" w:cs="宋体"/>
          <w:color w:val="auto"/>
          <w:sz w:val="28"/>
          <w:szCs w:val="28"/>
        </w:rPr>
        <w:t>。</w:t>
      </w:r>
    </w:p>
    <w:p>
      <w:pPr>
        <w:keepNext w:val="0"/>
        <w:keepLines w:val="0"/>
        <w:pageBreakBefore w:val="0"/>
        <w:widowControl w:val="0"/>
        <w:numPr>
          <w:ilvl w:val="0"/>
          <w:numId w:val="0"/>
        </w:numPr>
        <w:kinsoku/>
        <w:wordWrap/>
        <w:overflowPunct/>
        <w:topLinePunct w:val="0"/>
        <w:autoSpaceDE/>
        <w:autoSpaceDN w:val="0"/>
        <w:bidi w:val="0"/>
        <w:snapToGrid/>
        <w:spacing w:line="520" w:lineRule="exact"/>
        <w:ind w:firstLine="562" w:firstLineChars="200"/>
        <w:textAlignment w:val="cente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7、建设用地费用超概算</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val="0"/>
        <w:bidi w:val="0"/>
        <w:snapToGrid/>
        <w:spacing w:line="520" w:lineRule="exact"/>
        <w:ind w:firstLine="560" w:firstLineChars="200"/>
        <w:textAlignment w:val="center"/>
        <w:rPr>
          <w:rFonts w:hint="eastAsia" w:ascii="宋体" w:hAnsi="宋体" w:eastAsia="宋体" w:cs="宋体"/>
          <w:b w:val="0"/>
          <w:bCs w:val="0"/>
          <w:sz w:val="28"/>
          <w:szCs w:val="28"/>
          <w:lang w:val="en-US" w:eastAsia="zh-CN"/>
        </w:rPr>
      </w:pPr>
      <w:r>
        <w:rPr>
          <w:rFonts w:hint="eastAsia" w:ascii="宋体" w:hAnsi="宋体" w:eastAsia="宋体" w:cs="宋体"/>
          <w:sz w:val="28"/>
          <w:szCs w:val="28"/>
          <w:lang w:val="en-US" w:eastAsia="zh-CN"/>
        </w:rPr>
        <w:t>根据《总概算表》，建设用地费为272.00万元，2020年实际支出补偿款352.38万元，超概算金额80.38万元，超概算29.55%。主要支付路口镇政府道路、给水等基础设施补偿款67.7万元，支付晨宇公司与长岭街道办事处签订污水收集主管网项目征借地协调包干协议费104.31万元、与路口镇政府签订污水收集主管网项目征借地协调包干协议费用166.51万元；支付易地建设费及水土保持补偿费5.91万元、森林植被恢复费7.95万元。</w:t>
      </w:r>
      <w:r>
        <w:rPr>
          <w:rFonts w:hint="eastAsia" w:ascii="宋体" w:hAnsi="宋体" w:eastAsia="宋体" w:cs="宋体"/>
          <w:b w:val="0"/>
          <w:bCs w:val="0"/>
          <w:sz w:val="28"/>
          <w:szCs w:val="28"/>
          <w:lang w:val="en-US" w:eastAsia="zh-CN"/>
        </w:rPr>
        <w:t>建设用地费用超概算,将影响项目建设成本的控制。</w:t>
      </w:r>
    </w:p>
    <w:p>
      <w:pPr>
        <w:keepNext w:val="0"/>
        <w:keepLines w:val="0"/>
        <w:pageBreakBefore w:val="0"/>
        <w:widowControl w:val="0"/>
        <w:numPr>
          <w:ilvl w:val="0"/>
          <w:numId w:val="0"/>
        </w:numPr>
        <w:kinsoku/>
        <w:wordWrap/>
        <w:overflowPunct/>
        <w:topLinePunct w:val="0"/>
        <w:autoSpaceDE/>
        <w:autoSpaceDN w:val="0"/>
        <w:bidi w:val="0"/>
        <w:snapToGrid/>
        <w:spacing w:line="520" w:lineRule="exact"/>
        <w:ind w:firstLine="560" w:firstLineChars="200"/>
        <w:textAlignment w:val="center"/>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142" w:leftChars="0" w:firstLine="562" w:firstLineChars="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相关建议</w:t>
      </w:r>
    </w:p>
    <w:p>
      <w:pPr>
        <w:keepNext w:val="0"/>
        <w:keepLines w:val="0"/>
        <w:pageBreakBefore w:val="0"/>
        <w:widowControl w:val="0"/>
        <w:kinsoku/>
        <w:wordWrap/>
        <w:overflowPunct/>
        <w:topLinePunct w:val="0"/>
        <w:autoSpaceDE/>
        <w:autoSpaceDN w:val="0"/>
        <w:bidi w:val="0"/>
        <w:snapToGrid/>
        <w:spacing w:line="520" w:lineRule="exact"/>
        <w:ind w:firstLine="562" w:firstLineChars="200"/>
        <w:textAlignment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、明确绩效目标，加强绩效管理。</w:t>
      </w:r>
    </w:p>
    <w:p>
      <w:pPr>
        <w:keepNext w:val="0"/>
        <w:keepLines w:val="0"/>
        <w:pageBreakBefore w:val="0"/>
        <w:widowControl w:val="0"/>
        <w:kinsoku/>
        <w:wordWrap/>
        <w:overflowPunct/>
        <w:topLinePunct w:val="0"/>
        <w:autoSpaceDE/>
        <w:autoSpaceDN w:val="0"/>
        <w:bidi w:val="0"/>
        <w:snapToGrid/>
        <w:spacing w:line="520" w:lineRule="exact"/>
        <w:ind w:firstLine="560" w:firstLineChars="200"/>
        <w:textAlignment w:val="center"/>
        <w:rPr>
          <w:rFonts w:hint="eastAsia" w:ascii="宋体" w:hAnsi="宋体" w:eastAsia="宋体" w:cs="宋体"/>
          <w:sz w:val="28"/>
          <w:szCs w:val="28"/>
        </w:rPr>
      </w:pPr>
      <w:r>
        <w:rPr>
          <w:rFonts w:hint="eastAsia" w:ascii="宋体" w:hAnsi="宋体" w:eastAsia="宋体" w:cs="宋体"/>
          <w:sz w:val="28"/>
          <w:szCs w:val="28"/>
        </w:rPr>
        <w:t>严格按照湖南省财政厅印发的《湖南省政府债券项目绩效管理暂行办法》要求，将事前绩效评估作为项目进入专项债券项目库的必备条件，将绩效目标设置作为安排专项债券资金的前置条件，严格执行政府债券管理的相关制度、办法，按照财政部门和项目主管理部门的要求，做好本单位政府债券项目绩效管理工作，包括编制报送项目绩效目标，开展项目的绩效运行监控、绩效自评等工作。设置的绩效目标要尽可能细化量化，有效反映项目的预期产出、融资成本、偿债风险等。</w:t>
      </w:r>
    </w:p>
    <w:p>
      <w:pPr>
        <w:keepNext w:val="0"/>
        <w:keepLines w:val="0"/>
        <w:pageBreakBefore w:val="0"/>
        <w:widowControl w:val="0"/>
        <w:kinsoku/>
        <w:wordWrap/>
        <w:overflowPunct/>
        <w:topLinePunct w:val="0"/>
        <w:autoSpaceDE/>
        <w:autoSpaceDN w:val="0"/>
        <w:bidi w:val="0"/>
        <w:snapToGrid/>
        <w:spacing w:line="520" w:lineRule="exact"/>
        <w:ind w:firstLine="562" w:firstLineChars="200"/>
        <w:textAlignment w:val="center"/>
        <w:rPr>
          <w:rFonts w:hint="eastAsia" w:ascii="宋体" w:hAnsi="宋体" w:eastAsia="宋体" w:cs="宋体"/>
          <w:color w:val="000000"/>
          <w:sz w:val="28"/>
          <w:szCs w:val="28"/>
        </w:rPr>
      </w:pPr>
      <w:r>
        <w:rPr>
          <w:rFonts w:hint="eastAsia" w:ascii="宋体" w:hAnsi="宋体" w:eastAsia="宋体" w:cs="宋体"/>
          <w:b/>
          <w:bCs/>
          <w:color w:val="auto"/>
          <w:sz w:val="28"/>
          <w:szCs w:val="28"/>
          <w:lang w:val="en-US" w:eastAsia="zh-CN"/>
        </w:rPr>
        <w:t>2、制订</w:t>
      </w:r>
      <w:r>
        <w:rPr>
          <w:rFonts w:hint="eastAsia" w:ascii="宋体" w:hAnsi="宋体" w:eastAsia="宋体" w:cs="宋体"/>
          <w:b/>
          <w:bCs/>
          <w:color w:val="000000"/>
          <w:sz w:val="28"/>
          <w:szCs w:val="28"/>
        </w:rPr>
        <w:t>风控机制及措施</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严控资金风险</w:t>
      </w:r>
      <w:r>
        <w:rPr>
          <w:rFonts w:hint="eastAsia" w:ascii="宋体" w:hAnsi="宋体" w:eastAsia="宋体" w:cs="宋体"/>
          <w:b/>
          <w:bCs/>
          <w:color w:val="000000"/>
          <w:sz w:val="28"/>
          <w:szCs w:val="28"/>
        </w:rPr>
        <w:t>。</w:t>
      </w:r>
    </w:p>
    <w:p>
      <w:pPr>
        <w:keepNext w:val="0"/>
        <w:keepLines w:val="0"/>
        <w:pageBreakBefore w:val="0"/>
        <w:widowControl w:val="0"/>
        <w:kinsoku/>
        <w:wordWrap/>
        <w:overflowPunct/>
        <w:topLinePunct w:val="0"/>
        <w:autoSpaceDE/>
        <w:autoSpaceDN w:val="0"/>
        <w:bidi w:val="0"/>
        <w:snapToGrid/>
        <w:spacing w:line="520" w:lineRule="exact"/>
        <w:ind w:firstLine="560" w:firstLineChars="200"/>
        <w:textAlignment w:val="center"/>
        <w:rPr>
          <w:rFonts w:hint="eastAsia" w:ascii="宋体" w:hAnsi="宋体" w:eastAsia="宋体" w:cs="宋体"/>
          <w:b/>
          <w:bCs/>
          <w:sz w:val="28"/>
          <w:szCs w:val="28"/>
        </w:rPr>
      </w:pPr>
      <w:r>
        <w:rPr>
          <w:rFonts w:hint="eastAsia" w:ascii="宋体" w:hAnsi="宋体" w:eastAsia="宋体" w:cs="宋体"/>
          <w:color w:val="000000"/>
          <w:sz w:val="28"/>
          <w:szCs w:val="28"/>
        </w:rPr>
        <w:t>项目相关单位</w:t>
      </w:r>
      <w:r>
        <w:rPr>
          <w:rFonts w:hint="eastAsia" w:ascii="宋体" w:hAnsi="宋体" w:eastAsia="宋体" w:cs="宋体"/>
          <w:color w:val="000000"/>
          <w:sz w:val="28"/>
          <w:szCs w:val="28"/>
          <w:lang w:val="en-US" w:eastAsia="zh-CN"/>
        </w:rPr>
        <w:t>应按</w:t>
      </w:r>
      <w:r>
        <w:rPr>
          <w:rFonts w:hint="eastAsia" w:ascii="宋体" w:hAnsi="宋体" w:eastAsia="宋体" w:cs="宋体"/>
          <w:color w:val="000000"/>
          <w:sz w:val="28"/>
          <w:szCs w:val="28"/>
        </w:rPr>
        <w:t>《湖南省政府债务项目绩效管理暂行办法》</w:t>
      </w:r>
      <w:r>
        <w:rPr>
          <w:rFonts w:hint="eastAsia" w:ascii="宋体" w:hAnsi="宋体" w:eastAsia="宋体" w:cs="宋体"/>
          <w:color w:val="000000"/>
          <w:sz w:val="28"/>
          <w:szCs w:val="28"/>
          <w:lang w:val="en-US" w:eastAsia="zh-CN"/>
        </w:rPr>
        <w:t>要求，</w:t>
      </w:r>
      <w:r>
        <w:rPr>
          <w:rFonts w:hint="eastAsia" w:ascii="宋体" w:hAnsi="宋体" w:eastAsia="宋体" w:cs="宋体"/>
          <w:color w:val="000000"/>
          <w:sz w:val="28"/>
          <w:szCs w:val="28"/>
        </w:rPr>
        <w:t>建立债务风险动态监测机制、应对的风险预案及防范措施</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严控格控制债券资金运营期潜在</w:t>
      </w:r>
      <w:r>
        <w:rPr>
          <w:rFonts w:hint="eastAsia" w:ascii="宋体" w:hAnsi="宋体" w:eastAsia="宋体" w:cs="宋体"/>
          <w:color w:val="000000"/>
          <w:sz w:val="28"/>
          <w:szCs w:val="28"/>
        </w:rPr>
        <w:t>风险</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保障项目单位能按期还本付息。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3、加强对项目工程预算、决算审计工作。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val="0"/>
          <w:bCs w:val="0"/>
          <w:color w:val="auto"/>
          <w:sz w:val="28"/>
          <w:szCs w:val="28"/>
          <w:lang w:val="en-US" w:eastAsia="zh-CN"/>
        </w:rPr>
        <w:t>项目相关单位应加强对项目工程预算、决算审计工作，应注意核实项目实际工程量，论证项目变更增加工程量的必要性与真实性，核实减少本期设施、设备安装数量及金额，加快工程决算及审计进程。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4、加强运营计划管理，</w:t>
      </w:r>
      <w:r>
        <w:rPr>
          <w:rFonts w:hint="eastAsia" w:ascii="宋体" w:hAnsi="宋体" w:eastAsia="宋体" w:cs="宋体"/>
          <w:b/>
          <w:bCs/>
          <w:color w:val="000000"/>
          <w:sz w:val="28"/>
          <w:szCs w:val="28"/>
        </w:rPr>
        <w:t>保障项目</w:t>
      </w:r>
      <w:r>
        <w:rPr>
          <w:rFonts w:hint="eastAsia" w:ascii="宋体" w:hAnsi="宋体" w:eastAsia="宋体" w:cs="宋体"/>
          <w:b/>
          <w:bCs/>
          <w:color w:val="000000"/>
          <w:sz w:val="28"/>
          <w:szCs w:val="28"/>
          <w:lang w:val="en-US" w:eastAsia="zh-CN"/>
        </w:rPr>
        <w:t>按预期目标顺利运行。</w:t>
      </w:r>
    </w:p>
    <w:p>
      <w:pPr>
        <w:keepNext w:val="0"/>
        <w:keepLines w:val="0"/>
        <w:pageBreakBefore w:val="0"/>
        <w:widowControl w:val="0"/>
        <w:kinsoku/>
        <w:wordWrap/>
        <w:overflowPunct/>
        <w:topLinePunct w:val="0"/>
        <w:autoSpaceDE/>
        <w:autoSpaceDN w:val="0"/>
        <w:bidi w:val="0"/>
        <w:snapToGrid/>
        <w:spacing w:line="520" w:lineRule="exact"/>
        <w:ind w:firstLine="560" w:firstLineChars="200"/>
        <w:textAlignment w:val="center"/>
        <w:rPr>
          <w:rFonts w:hint="eastAsia" w:ascii="宋体" w:hAnsi="宋体" w:eastAsia="宋体" w:cs="宋体"/>
          <w:b w:val="0"/>
          <w:bCs w:val="0"/>
          <w:color w:val="auto"/>
          <w:sz w:val="28"/>
          <w:szCs w:val="28"/>
          <w:highlight w:val="yellow"/>
          <w:lang w:val="en-US" w:eastAsia="zh-CN"/>
        </w:rPr>
      </w:pPr>
      <w:r>
        <w:rPr>
          <w:rFonts w:hint="eastAsia" w:ascii="宋体" w:hAnsi="宋体" w:eastAsia="宋体" w:cs="宋体"/>
          <w:b w:val="0"/>
          <w:bCs w:val="0"/>
          <w:color w:val="auto"/>
          <w:sz w:val="28"/>
          <w:szCs w:val="28"/>
          <w:lang w:val="en-US" w:eastAsia="zh-CN"/>
        </w:rPr>
        <w:t>项目相关单位应制订运营期实施方案或计划，</w:t>
      </w:r>
      <w:r>
        <w:rPr>
          <w:rFonts w:hint="eastAsia" w:ascii="宋体" w:hAnsi="宋体" w:eastAsia="宋体" w:cs="宋体"/>
          <w:color w:val="000000"/>
          <w:sz w:val="28"/>
          <w:szCs w:val="28"/>
        </w:rPr>
        <w:t>明确项目组织管理机构、相关部门职责分工，明确</w:t>
      </w:r>
      <w:r>
        <w:rPr>
          <w:rFonts w:hint="eastAsia" w:ascii="宋体" w:hAnsi="宋体" w:eastAsia="宋体" w:cs="宋体"/>
          <w:color w:val="000000"/>
          <w:sz w:val="28"/>
          <w:szCs w:val="28"/>
          <w:lang w:val="en-US" w:eastAsia="zh-CN"/>
        </w:rPr>
        <w:t>运营期限、</w:t>
      </w:r>
      <w:r>
        <w:rPr>
          <w:rFonts w:hint="eastAsia" w:ascii="宋体" w:hAnsi="宋体" w:eastAsia="宋体" w:cs="宋体"/>
          <w:color w:val="000000"/>
          <w:sz w:val="28"/>
          <w:szCs w:val="28"/>
        </w:rPr>
        <w:t>质量、风险管理与控制及</w:t>
      </w:r>
      <w:r>
        <w:rPr>
          <w:rFonts w:hint="eastAsia" w:ascii="宋体" w:hAnsi="宋体" w:eastAsia="宋体" w:cs="宋体"/>
          <w:color w:val="000000"/>
          <w:sz w:val="28"/>
          <w:szCs w:val="28"/>
          <w:lang w:val="en-US" w:eastAsia="zh-CN"/>
        </w:rPr>
        <w:t>成本控制</w:t>
      </w:r>
      <w:r>
        <w:rPr>
          <w:rFonts w:hint="eastAsia" w:ascii="宋体" w:hAnsi="宋体" w:eastAsia="宋体" w:cs="宋体"/>
          <w:color w:val="000000"/>
          <w:sz w:val="28"/>
          <w:szCs w:val="28"/>
        </w:rPr>
        <w:t>等要求，以保障项目</w:t>
      </w:r>
      <w:r>
        <w:rPr>
          <w:rFonts w:hint="eastAsia" w:ascii="宋体" w:hAnsi="宋体" w:eastAsia="宋体" w:cs="宋体"/>
          <w:color w:val="000000"/>
          <w:sz w:val="28"/>
          <w:szCs w:val="28"/>
          <w:lang w:val="en-US" w:eastAsia="zh-CN"/>
        </w:rPr>
        <w:t>按预期目标安全、顺利运行，落实</w:t>
      </w:r>
      <w:r>
        <w:rPr>
          <w:rFonts w:hint="eastAsia" w:ascii="宋体" w:hAnsi="宋体" w:eastAsia="宋体" w:cs="宋体"/>
          <w:sz w:val="28"/>
          <w:szCs w:val="28"/>
          <w:lang w:val="en-US" w:eastAsia="zh-CN"/>
        </w:rPr>
        <w:t>专项债券“</w:t>
      </w:r>
      <w:r>
        <w:rPr>
          <w:rFonts w:hint="eastAsia" w:ascii="宋体" w:hAnsi="宋体" w:eastAsia="宋体" w:cs="宋体"/>
          <w:sz w:val="28"/>
          <w:szCs w:val="28"/>
        </w:rPr>
        <w:t>专项债券</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市场化融资期限与项目期限保持一致”的要求。</w:t>
      </w:r>
    </w:p>
    <w:p>
      <w:pPr>
        <w:keepNext w:val="0"/>
        <w:keepLines w:val="0"/>
        <w:pageBreakBefore w:val="0"/>
        <w:widowControl w:val="0"/>
        <w:numPr>
          <w:ilvl w:val="0"/>
          <w:numId w:val="0"/>
        </w:numPr>
        <w:kinsoku/>
        <w:wordWrap/>
        <w:overflowPunct/>
        <w:topLinePunct w:val="0"/>
        <w:autoSpaceDE/>
        <w:autoSpaceDN w:val="0"/>
        <w:bidi w:val="0"/>
        <w:snapToGrid/>
        <w:spacing w:line="520" w:lineRule="exact"/>
        <w:ind w:firstLine="562" w:firstLineChars="200"/>
        <w:textAlignment w:val="cente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5、实现污水处理</w:t>
      </w:r>
      <w:r>
        <w:rPr>
          <w:rFonts w:hint="eastAsia" w:ascii="宋体" w:hAnsi="宋体" w:eastAsia="宋体" w:cs="宋体"/>
          <w:b/>
          <w:bCs/>
          <w:sz w:val="28"/>
          <w:szCs w:val="28"/>
        </w:rPr>
        <w:t>预期</w:t>
      </w:r>
      <w:r>
        <w:rPr>
          <w:rFonts w:hint="eastAsia" w:ascii="宋体" w:hAnsi="宋体" w:eastAsia="宋体" w:cs="宋体"/>
          <w:b/>
          <w:bCs/>
          <w:sz w:val="28"/>
          <w:szCs w:val="28"/>
          <w:lang w:val="en-US" w:eastAsia="zh-CN"/>
        </w:rPr>
        <w:t>收入、控制项目运营经营成本。</w:t>
      </w:r>
    </w:p>
    <w:p>
      <w:pPr>
        <w:keepNext w:val="0"/>
        <w:keepLines w:val="0"/>
        <w:pageBreakBefore w:val="0"/>
        <w:widowControl w:val="0"/>
        <w:numPr>
          <w:ilvl w:val="0"/>
          <w:numId w:val="0"/>
        </w:numPr>
        <w:kinsoku/>
        <w:wordWrap/>
        <w:overflowPunct/>
        <w:topLinePunct w:val="0"/>
        <w:autoSpaceDE/>
        <w:autoSpaceDN w:val="0"/>
        <w:bidi w:val="0"/>
        <w:snapToGrid/>
        <w:spacing w:line="520" w:lineRule="exact"/>
        <w:ind w:firstLine="560" w:firstLineChars="200"/>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相关单位应按照岳阳市人民政府办公室关于印发《岳阳市城乡污水处理收费改革试点实施方案》的通知（岳政办发[2019]2号），</w:t>
      </w:r>
      <w:r>
        <w:rPr>
          <w:rFonts w:hint="eastAsia" w:ascii="宋体" w:hAnsi="宋体" w:eastAsia="宋体" w:cs="宋体"/>
          <w:color w:val="000000"/>
          <w:sz w:val="28"/>
          <w:szCs w:val="28"/>
          <w:lang w:val="en-US" w:eastAsia="zh-CN"/>
        </w:rPr>
        <w:t>马上</w:t>
      </w:r>
      <w:r>
        <w:rPr>
          <w:rFonts w:hint="eastAsia" w:ascii="宋体" w:hAnsi="宋体" w:eastAsia="宋体" w:cs="宋体"/>
          <w:color w:val="000000"/>
          <w:sz w:val="28"/>
          <w:szCs w:val="28"/>
        </w:rPr>
        <w:t>启动长岭污水处理厂周边的污水处理费收取工作</w:t>
      </w:r>
      <w:r>
        <w:rPr>
          <w:rFonts w:hint="eastAsia" w:ascii="宋体" w:hAnsi="宋体" w:eastAsia="宋体" w:cs="宋体"/>
          <w:color w:val="000000"/>
          <w:sz w:val="28"/>
          <w:szCs w:val="28"/>
          <w:lang w:eastAsia="zh-CN"/>
        </w:rPr>
        <w:t>，</w:t>
      </w:r>
      <w:r>
        <w:rPr>
          <w:rFonts w:hint="eastAsia" w:ascii="宋体" w:hAnsi="宋体" w:eastAsia="宋体" w:cs="宋体"/>
          <w:sz w:val="28"/>
          <w:szCs w:val="28"/>
          <w:lang w:val="en-US" w:eastAsia="zh-CN"/>
        </w:rPr>
        <w:t>尽快收取居民用水费用，</w:t>
      </w:r>
      <w:r>
        <w:rPr>
          <w:rFonts w:hint="eastAsia" w:ascii="宋体" w:hAnsi="宋体" w:eastAsia="宋体" w:cs="宋体"/>
          <w:b w:val="0"/>
          <w:bCs w:val="0"/>
          <w:sz w:val="28"/>
          <w:szCs w:val="28"/>
          <w:lang w:val="en-US" w:eastAsia="zh-CN"/>
        </w:rPr>
        <w:t>实现</w:t>
      </w:r>
      <w:r>
        <w:rPr>
          <w:rFonts w:hint="eastAsia" w:ascii="宋体" w:hAnsi="宋体" w:eastAsia="宋体" w:cs="宋体"/>
          <w:b w:val="0"/>
          <w:bCs w:val="0"/>
          <w:sz w:val="28"/>
          <w:szCs w:val="28"/>
        </w:rPr>
        <w:t>预期</w:t>
      </w:r>
      <w:r>
        <w:rPr>
          <w:rFonts w:hint="eastAsia" w:ascii="宋体" w:hAnsi="宋体" w:eastAsia="宋体" w:cs="宋体"/>
          <w:b w:val="0"/>
          <w:bCs w:val="0"/>
          <w:sz w:val="28"/>
          <w:szCs w:val="28"/>
          <w:lang w:val="en-US" w:eastAsia="zh-CN"/>
        </w:rPr>
        <w:t>收入。相关单位对照</w:t>
      </w:r>
      <w:r>
        <w:rPr>
          <w:rFonts w:hint="eastAsia" w:ascii="宋体" w:hAnsi="宋体" w:eastAsia="宋体" w:cs="宋体"/>
          <w:sz w:val="28"/>
          <w:szCs w:val="28"/>
        </w:rPr>
        <w:t>《融资平衡方案》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根据实际情况核算经营成本</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保障成本核算准确，</w:t>
      </w:r>
      <w:r>
        <w:rPr>
          <w:rFonts w:hint="eastAsia" w:ascii="宋体" w:hAnsi="宋体" w:eastAsia="宋体" w:cs="宋体"/>
          <w:b w:val="0"/>
          <w:bCs w:val="0"/>
          <w:sz w:val="28"/>
          <w:szCs w:val="28"/>
          <w:lang w:val="en-US" w:eastAsia="zh-CN"/>
        </w:rPr>
        <w:t>控制项目运营经营成本。</w:t>
      </w:r>
    </w:p>
    <w:p>
      <w:pPr>
        <w:keepNext w:val="0"/>
        <w:keepLines w:val="0"/>
        <w:pageBreakBefore w:val="0"/>
        <w:widowControl w:val="0"/>
        <w:numPr>
          <w:ilvl w:val="0"/>
          <w:numId w:val="0"/>
        </w:numPr>
        <w:kinsoku/>
        <w:wordWrap/>
        <w:overflowPunct/>
        <w:topLinePunct w:val="0"/>
        <w:autoSpaceDE/>
        <w:autoSpaceDN w:val="0"/>
        <w:bidi w:val="0"/>
        <w:snapToGrid/>
        <w:spacing w:line="520" w:lineRule="exact"/>
        <w:ind w:left="700" w:leftChars="0"/>
        <w:textAlignment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6、加强项目资产管理，及时办理相关手续。</w:t>
      </w:r>
    </w:p>
    <w:p>
      <w:pPr>
        <w:keepNext w:val="0"/>
        <w:keepLines w:val="0"/>
        <w:pageBreakBefore w:val="0"/>
        <w:widowControl w:val="0"/>
        <w:numPr>
          <w:ilvl w:val="0"/>
          <w:numId w:val="0"/>
        </w:numPr>
        <w:kinsoku/>
        <w:wordWrap/>
        <w:overflowPunct/>
        <w:topLinePunct w:val="0"/>
        <w:autoSpaceDE/>
        <w:autoSpaceDN w:val="0"/>
        <w:bidi w:val="0"/>
        <w:snapToGrid/>
        <w:spacing w:line="520" w:lineRule="exact"/>
        <w:ind w:firstLine="560" w:firstLineChars="200"/>
        <w:textAlignment w:val="center"/>
        <w:rPr>
          <w:rFonts w:hint="eastAsia" w:ascii="宋体" w:hAnsi="宋体" w:eastAsia="宋体" w:cs="宋体"/>
          <w:b w:val="0"/>
          <w:bCs w:val="0"/>
          <w:sz w:val="28"/>
          <w:szCs w:val="28"/>
          <w:lang w:val="en-US" w:eastAsia="zh-CN"/>
        </w:rPr>
      </w:pPr>
      <w:r>
        <w:rPr>
          <w:rFonts w:hint="eastAsia" w:ascii="宋体" w:hAnsi="宋体" w:eastAsia="宋体" w:cs="宋体"/>
          <w:sz w:val="28"/>
          <w:szCs w:val="28"/>
          <w:lang w:val="en-US" w:eastAsia="zh-CN"/>
        </w:rPr>
        <w:t>政府方、社会方应按投资额明确资产股权比例，及时办理项目资产备案和产权登记手续；</w:t>
      </w:r>
      <w:r>
        <w:rPr>
          <w:rFonts w:hint="eastAsia" w:ascii="宋体" w:hAnsi="宋体" w:eastAsia="宋体" w:cs="宋体"/>
          <w:b w:val="0"/>
          <w:bCs w:val="0"/>
          <w:color w:val="auto"/>
          <w:sz w:val="28"/>
          <w:szCs w:val="28"/>
          <w:highlight w:val="none"/>
          <w:lang w:val="en-US" w:eastAsia="zh-CN"/>
        </w:rPr>
        <w:t>加强项目资产管理。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0" w:leftChars="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lang w:val="en-US" w:eastAsia="zh-CN"/>
        </w:rPr>
        <w:t>7、组织调查实际污水收集情况，提升污水收集率。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sz w:val="28"/>
          <w:szCs w:val="28"/>
          <w:lang w:val="en-US" w:eastAsia="zh-CN"/>
        </w:rPr>
        <w:t>业主单位应认真组织对长岭污水处理厂达不到设计处理能力的调查，查找污水收集率低的原因，分析配套管网建设设计合理性，排查污水管网是否淤积、污水在输送过程中是否有渗漏，查找居民污、雨水管混接造成污水大量进入雨水管道等问题，加大雨污分流的重要性宣传，增强雨污分流的环保意识，对管网漏失现象督促及时维修，提高污水收集率，使长岭污水处理厂达到设计处理能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六</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绩效报告使用限制及</w:t>
      </w:r>
      <w:r>
        <w:rPr>
          <w:rFonts w:hint="eastAsia" w:ascii="宋体" w:hAnsi="宋体" w:eastAsia="宋体" w:cs="宋体"/>
          <w:b/>
          <w:bCs/>
          <w:color w:val="000000"/>
          <w:sz w:val="28"/>
          <w:szCs w:val="28"/>
          <w:lang w:eastAsia="zh-CN"/>
        </w:rPr>
        <w:t>其他需要说明的</w:t>
      </w:r>
      <w:r>
        <w:rPr>
          <w:rFonts w:hint="eastAsia" w:ascii="宋体" w:hAnsi="宋体" w:eastAsia="宋体" w:cs="宋体"/>
          <w:b/>
          <w:bCs/>
          <w:color w:val="000000"/>
          <w:sz w:val="28"/>
          <w:szCs w:val="28"/>
          <w:lang w:val="en-US" w:eastAsia="zh-CN"/>
        </w:rPr>
        <w:t>事项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调查问卷属于被调查者的主观反馈，问卷措辞可能影响被调查者的回应，问卷题目也无法给出项目全貌，不能完全真实反映本项目实际效果。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、本报告数据仅根据</w:t>
      </w:r>
      <w:r>
        <w:rPr>
          <w:rFonts w:hint="eastAsia" w:ascii="宋体" w:hAnsi="宋体" w:eastAsia="宋体" w:cs="宋体"/>
          <w:color w:val="000000"/>
          <w:sz w:val="28"/>
          <w:szCs w:val="28"/>
          <w:lang w:val="en-US" w:eastAsia="zh-CN"/>
        </w:rPr>
        <w:t>晨宇公司</w:t>
      </w:r>
      <w:r>
        <w:rPr>
          <w:rFonts w:hint="eastAsia" w:ascii="宋体" w:hAnsi="宋体" w:eastAsia="宋体" w:cs="宋体"/>
          <w:color w:val="000000"/>
          <w:sz w:val="28"/>
          <w:szCs w:val="28"/>
        </w:rPr>
        <w:t>提供的文件、资料、原始单证、报表、凭证数据及内容进行的绩效评价，绩效评价意见和观点是在现场评价时点数的基础上出具的，不应视作包含绩效评价期间所有业务发生的保证。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、本报告仅供</w:t>
      </w:r>
      <w:r>
        <w:rPr>
          <w:rFonts w:hint="eastAsia" w:ascii="宋体" w:hAnsi="宋体" w:eastAsia="宋体" w:cs="宋体"/>
          <w:sz w:val="28"/>
          <w:szCs w:val="28"/>
          <w:lang w:val="en-US" w:eastAsia="zh-CN"/>
        </w:rPr>
        <w:t>云溪区财政局“云溪区长岭污水处理厂专项债券资金建设项目”</w:t>
      </w:r>
      <w:r>
        <w:rPr>
          <w:rFonts w:hint="eastAsia" w:ascii="宋体" w:hAnsi="宋体" w:eastAsia="宋体" w:cs="宋体"/>
          <w:sz w:val="28"/>
          <w:szCs w:val="28"/>
        </w:rPr>
        <w:t>绩效评价</w:t>
      </w:r>
      <w:r>
        <w:rPr>
          <w:rFonts w:hint="eastAsia" w:ascii="宋体" w:hAnsi="宋体" w:eastAsia="宋体" w:cs="宋体"/>
          <w:sz w:val="28"/>
          <w:szCs w:val="28"/>
          <w:lang w:val="en-US" w:eastAsia="zh-CN"/>
        </w:rPr>
        <w:t>所用</w:t>
      </w:r>
      <w:r>
        <w:rPr>
          <w:rFonts w:hint="eastAsia" w:ascii="宋体" w:hAnsi="宋体" w:eastAsia="宋体" w:cs="宋体"/>
          <w:sz w:val="28"/>
          <w:szCs w:val="28"/>
        </w:rPr>
        <w:t>，不能作为其他用途。</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以上因使用不当造成任何后果与本报告执业注册会计师及本事务所无关。</w:t>
      </w:r>
    </w:p>
    <w:p>
      <w:pPr>
        <w:keepNext w:val="0"/>
        <w:keepLines w:val="0"/>
        <w:pageBreakBefore w:val="0"/>
        <w:widowControl w:val="0"/>
        <w:kinsoku/>
        <w:wordWrap/>
        <w:overflowPunct/>
        <w:topLinePunct w:val="0"/>
        <w:autoSpaceDE/>
        <w:bidi w:val="0"/>
        <w:snapToGrid/>
        <w:spacing w:line="520" w:lineRule="exact"/>
        <w:ind w:firstLine="560" w:firstLineChars="200"/>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1.云溪区污水处理厂债券资金建设专项债券项目绩效评价指标体系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en-US" w:eastAsia="zh-CN"/>
        </w:rPr>
        <w:t>云溪区污水处理厂债券资金建设专项债券项目绩效评价</w:t>
      </w:r>
      <w:r>
        <w:rPr>
          <w:rFonts w:hint="eastAsia" w:ascii="宋体" w:hAnsi="宋体" w:eastAsia="宋体" w:cs="宋体"/>
          <w:sz w:val="24"/>
          <w:szCs w:val="24"/>
          <w:lang w:val="en-US" w:eastAsia="zh-CN"/>
        </w:rPr>
        <w:t>评分表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3.绩效评价工作小组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4.问卷调查表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5、基础数据表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sz w:val="24"/>
          <w:szCs w:val="24"/>
          <w:lang w:val="en-US" w:eastAsia="zh-CN"/>
        </w:rPr>
      </w:pPr>
    </w:p>
    <w:p>
      <w:pPr>
        <w:spacing w:line="300" w:lineRule="auto"/>
        <w:rPr>
          <w:rFonts w:hint="eastAsia" w:ascii="宋体" w:hAnsi="宋体"/>
          <w:color w:val="000000"/>
          <w:sz w:val="28"/>
          <w:szCs w:val="28"/>
        </w:rPr>
      </w:pPr>
    </w:p>
    <w:p>
      <w:pPr>
        <w:spacing w:line="300" w:lineRule="auto"/>
        <w:ind w:firstLine="840" w:firstLineChars="300"/>
        <w:rPr>
          <w:rFonts w:hint="eastAsia" w:ascii="宋体" w:hAnsi="宋体"/>
          <w:color w:val="000000"/>
          <w:sz w:val="28"/>
          <w:szCs w:val="28"/>
        </w:rPr>
      </w:pPr>
      <w:r>
        <w:rPr>
          <w:rFonts w:hint="eastAsia" w:ascii="宋体" w:hAnsi="宋体"/>
          <w:color w:val="000000"/>
          <w:sz w:val="28"/>
          <w:szCs w:val="28"/>
        </w:rPr>
        <w:t>湖南恒兴联合                 中国注册会计师:</w:t>
      </w:r>
    </w:p>
    <w:p>
      <w:pPr>
        <w:spacing w:line="300" w:lineRule="auto"/>
        <w:ind w:firstLine="560" w:firstLineChars="200"/>
        <w:rPr>
          <w:rFonts w:hint="eastAsia" w:ascii="宋体" w:hAnsi="宋体"/>
          <w:color w:val="000000"/>
          <w:sz w:val="28"/>
          <w:szCs w:val="28"/>
        </w:rPr>
      </w:pPr>
    </w:p>
    <w:p>
      <w:pPr>
        <w:spacing w:line="300" w:lineRule="auto"/>
        <w:ind w:firstLine="840" w:firstLineChars="300"/>
        <w:rPr>
          <w:rFonts w:hint="eastAsia" w:ascii="宋体" w:hAnsi="宋体"/>
          <w:sz w:val="28"/>
          <w:szCs w:val="28"/>
        </w:rPr>
      </w:pPr>
      <w:r>
        <w:rPr>
          <w:rFonts w:hint="eastAsia" w:ascii="宋体" w:hAnsi="宋体"/>
          <w:color w:val="000000"/>
          <w:sz w:val="28"/>
          <w:szCs w:val="28"/>
        </w:rPr>
        <w:t>会计师事务所                 中国注册会计师：</w:t>
      </w:r>
    </w:p>
    <w:p>
      <w:pPr>
        <w:spacing w:line="1000" w:lineRule="exact"/>
        <w:ind w:firstLine="840" w:firstLineChars="300"/>
        <w:rPr>
          <w:rFonts w:hint="eastAsia" w:ascii="宋体" w:hAnsi="宋体"/>
          <w:color w:val="000000"/>
          <w:sz w:val="28"/>
          <w:szCs w:val="28"/>
        </w:rPr>
      </w:pPr>
      <w:r>
        <w:rPr>
          <w:rFonts w:hint="eastAsia" w:ascii="宋体" w:hAnsi="宋体"/>
          <w:color w:val="000000"/>
          <w:sz w:val="28"/>
          <w:szCs w:val="28"/>
        </w:rPr>
        <w:t>湖南.岳阳                 二0</w:t>
      </w:r>
      <w:r>
        <w:rPr>
          <w:rFonts w:hint="eastAsia" w:ascii="宋体" w:hAnsi="宋体"/>
          <w:color w:val="000000"/>
          <w:sz w:val="28"/>
          <w:szCs w:val="28"/>
          <w:lang w:eastAsia="zh-CN"/>
        </w:rPr>
        <w:t>二</w:t>
      </w:r>
      <w:r>
        <w:rPr>
          <w:rFonts w:hint="eastAsia" w:ascii="宋体" w:hAnsi="宋体"/>
          <w:color w:val="000000"/>
          <w:sz w:val="28"/>
          <w:szCs w:val="28"/>
          <w:lang w:val="en-US" w:eastAsia="zh-CN"/>
        </w:rPr>
        <w:t>一</w:t>
      </w:r>
      <w:r>
        <w:rPr>
          <w:rFonts w:hint="eastAsia" w:ascii="宋体" w:hAnsi="宋体"/>
          <w:color w:val="000000"/>
          <w:sz w:val="28"/>
          <w:szCs w:val="28"/>
        </w:rPr>
        <w:t>年</w:t>
      </w:r>
      <w:r>
        <w:rPr>
          <w:rFonts w:hint="eastAsia" w:ascii="宋体" w:hAnsi="宋体"/>
          <w:color w:val="000000"/>
          <w:sz w:val="28"/>
          <w:szCs w:val="28"/>
          <w:lang w:val="en-US" w:eastAsia="zh-CN"/>
        </w:rPr>
        <w:t>十一</w:t>
      </w:r>
      <w:r>
        <w:rPr>
          <w:rFonts w:hint="eastAsia" w:ascii="宋体" w:hAnsi="宋体"/>
          <w:color w:val="000000"/>
          <w:sz w:val="28"/>
          <w:szCs w:val="28"/>
        </w:rPr>
        <w:t>月</w:t>
      </w:r>
      <w:r>
        <w:rPr>
          <w:rFonts w:hint="eastAsia" w:ascii="宋体" w:hAnsi="宋体"/>
          <w:color w:val="000000"/>
          <w:sz w:val="28"/>
          <w:szCs w:val="28"/>
          <w:lang w:val="en-US" w:eastAsia="zh-CN"/>
        </w:rPr>
        <w:t>十八</w:t>
      </w:r>
      <w:r>
        <w:rPr>
          <w:rFonts w:hint="eastAsia" w:ascii="宋体" w:hAnsi="宋体"/>
          <w:color w:val="000000"/>
          <w:sz w:val="28"/>
          <w:szCs w:val="28"/>
        </w:rPr>
        <w:t>日</w:t>
      </w:r>
    </w:p>
    <w:p>
      <w:pPr>
        <w:rPr>
          <w:rFonts w:hint="eastAsia"/>
          <w:lang w:val="en-US" w:eastAsia="zh-CN"/>
        </w:rPr>
      </w:pPr>
    </w:p>
    <w:p>
      <w:pPr>
        <w:autoSpaceDE w:val="0"/>
        <w:autoSpaceDN w:val="0"/>
        <w:adjustRightInd w:val="0"/>
        <w:rPr>
          <w:rFonts w:hint="eastAsia"/>
          <w:b/>
          <w:sz w:val="28"/>
          <w:szCs w:val="28"/>
        </w:rPr>
      </w:pPr>
    </w:p>
    <w:sectPr>
      <w:footerReference r:id="rId9" w:type="default"/>
      <w:pgSz w:w="11906" w:h="16838"/>
      <w:pgMar w:top="1440" w:right="1644" w:bottom="1247" w:left="164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华文仿宋">
    <w:altName w:val="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MS Sans 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楷体" w:hAnsi="楷体" w:eastAsia="楷体" w:cs="楷体"/>
      </w:rPr>
    </w:pPr>
    <w:r>
      <w:rPr>
        <w:rFonts w:hint="eastAsia" w:ascii="楷体" w:hAnsi="楷体" w:eastAsia="楷体" w:cs="楷体"/>
      </w:rPr>
      <w:t>湖南恒兴联合会计师事务所（普通合伙）</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default" w:ascii="楷体" w:hAnsi="楷体" w:eastAsia="楷体" w:cs="楷体"/>
        <w:lang w:val="en-US" w:eastAsia="zh-CN"/>
      </w:rPr>
    </w:pPr>
    <w:r>
      <w:rPr>
        <w:rFonts w:hint="eastAsia" w:ascii="楷体" w:hAnsi="楷体" w:eastAsia="楷体" w:cs="楷体"/>
        <w:lang w:val="en-US" w:eastAsia="zh-CN"/>
      </w:rPr>
      <w:t>湖 南 恒 兴 联 合 会 计 师 事 务 所（普通合伙）</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default" w:ascii="楷体" w:hAnsi="楷体" w:eastAsia="楷体" w:cs="楷体"/>
        <w:lang w:val="en-US" w:eastAsia="zh-CN"/>
      </w:rPr>
    </w:pPr>
    <w:r>
      <w:rPr>
        <w:rFonts w:hint="eastAsia" w:ascii="楷体" w:hAnsi="楷体" w:eastAsia="楷体" w:cs="楷体"/>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ascii="楷体" w:hAnsi="楷体" w:eastAsia="楷体" w:cs="楷体"/>
                              <w:lang w:eastAsia="zh-CN"/>
                            </w:rPr>
                          </w:pPr>
                          <w:r>
                            <w:rPr>
                              <w:rFonts w:hint="eastAsia" w:ascii="楷体" w:hAnsi="楷体" w:eastAsia="楷体" w:cs="楷体"/>
                              <w:lang w:eastAsia="zh-CN"/>
                            </w:rPr>
                            <w:t xml:space="preserve">第 </w:t>
                          </w:r>
                          <w:r>
                            <w:rPr>
                              <w:rFonts w:hint="eastAsia" w:ascii="楷体" w:hAnsi="楷体" w:eastAsia="楷体" w:cs="楷体"/>
                              <w:lang w:eastAsia="zh-CN"/>
                            </w:rPr>
                            <w:fldChar w:fldCharType="begin"/>
                          </w:r>
                          <w:r>
                            <w:rPr>
                              <w:rFonts w:hint="eastAsia" w:ascii="楷体" w:hAnsi="楷体" w:eastAsia="楷体" w:cs="楷体"/>
                              <w:lang w:eastAsia="zh-CN"/>
                            </w:rPr>
                            <w:instrText xml:space="preserve"> PAGE  \* MERGEFORMAT </w:instrText>
                          </w:r>
                          <w:r>
                            <w:rPr>
                              <w:rFonts w:hint="eastAsia" w:ascii="楷体" w:hAnsi="楷体" w:eastAsia="楷体" w:cs="楷体"/>
                              <w:lang w:eastAsia="zh-CN"/>
                            </w:rPr>
                            <w:fldChar w:fldCharType="separate"/>
                          </w:r>
                          <w:r>
                            <w:rPr>
                              <w:rFonts w:hint="eastAsia" w:ascii="楷体" w:hAnsi="楷体" w:eastAsia="楷体" w:cs="楷体"/>
                              <w:lang w:eastAsia="zh-CN"/>
                            </w:rPr>
                            <w:t>1</w:t>
                          </w:r>
                          <w:r>
                            <w:rPr>
                              <w:rFonts w:hint="eastAsia" w:ascii="楷体" w:hAnsi="楷体" w:eastAsia="楷体" w:cs="楷体"/>
                              <w:lang w:eastAsia="zh-CN"/>
                            </w:rPr>
                            <w:fldChar w:fldCharType="end"/>
                          </w:r>
                          <w:r>
                            <w:rPr>
                              <w:rFonts w:hint="eastAsia" w:ascii="楷体" w:hAnsi="楷体" w:eastAsia="楷体" w:cs="楷体"/>
                              <w:lang w:eastAsia="zh-CN"/>
                            </w:rPr>
                            <w:t xml:space="preserve"> 页 共 </w:t>
                          </w:r>
                          <w:r>
                            <w:rPr>
                              <w:rFonts w:hint="eastAsia" w:ascii="楷体" w:hAnsi="楷体" w:eastAsia="楷体" w:cs="楷体"/>
                              <w:lang w:val="en-US" w:eastAsia="zh-CN"/>
                            </w:rPr>
                            <w:t>29</w:t>
                          </w:r>
                          <w:r>
                            <w:rPr>
                              <w:rFonts w:hint="eastAsia" w:ascii="楷体" w:hAnsi="楷体" w:eastAsia="楷体" w:cs="楷体"/>
                              <w:lang w:eastAsia="zh-CN"/>
                            </w:rPr>
                            <w:t xml:space="preserve"> 页</w:t>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UtL94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LZM+fYCK0u4CJeLwyg+0NbMfyJloD2206U+EGMVJ3fNVXTUgk+nSerVelxSSFJsPhF/cXw8R8I3y&#10;liWj5pHGl1UVp3eAY+qckqo5f6uNySM07i8HYSZPkXofe0wWDvthIrT3zZn40DugOp2PXzjraQtq&#10;7mjpOTNvHYmcFmY24mzsZ0M4SRdrjpyN5mscF+sYoj50edVSUxBeHpE6zQRSG2PtqTuaa5Zg2sG0&#10;OH+ec9b9u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GdS0v3gEAAL8DAAAOAAAAAAAA&#10;AAEAIAAAAB4BAABkcnMvZTJvRG9jLnhtbFBLBQYAAAAABgAGAFkBAABuBQAAAAA=&#10;">
              <v:fill on="f" focussize="0,0"/>
              <v:stroke on="f"/>
              <v:imagedata o:title=""/>
              <o:lock v:ext="edit" aspectratio="f"/>
              <v:textbox inset="0mm,0mm,0mm,0mm" style="mso-fit-shape-to-text:t;">
                <w:txbxContent>
                  <w:p>
                    <w:pPr>
                      <w:pStyle w:val="16"/>
                      <w:rPr>
                        <w:rFonts w:hint="eastAsia" w:ascii="楷体" w:hAnsi="楷体" w:eastAsia="楷体" w:cs="楷体"/>
                        <w:lang w:eastAsia="zh-CN"/>
                      </w:rPr>
                    </w:pPr>
                    <w:r>
                      <w:rPr>
                        <w:rFonts w:hint="eastAsia" w:ascii="楷体" w:hAnsi="楷体" w:eastAsia="楷体" w:cs="楷体"/>
                        <w:lang w:eastAsia="zh-CN"/>
                      </w:rPr>
                      <w:t xml:space="preserve">第 </w:t>
                    </w:r>
                    <w:r>
                      <w:rPr>
                        <w:rFonts w:hint="eastAsia" w:ascii="楷体" w:hAnsi="楷体" w:eastAsia="楷体" w:cs="楷体"/>
                        <w:lang w:eastAsia="zh-CN"/>
                      </w:rPr>
                      <w:fldChar w:fldCharType="begin"/>
                    </w:r>
                    <w:r>
                      <w:rPr>
                        <w:rFonts w:hint="eastAsia" w:ascii="楷体" w:hAnsi="楷体" w:eastAsia="楷体" w:cs="楷体"/>
                        <w:lang w:eastAsia="zh-CN"/>
                      </w:rPr>
                      <w:instrText xml:space="preserve"> PAGE  \* MERGEFORMAT </w:instrText>
                    </w:r>
                    <w:r>
                      <w:rPr>
                        <w:rFonts w:hint="eastAsia" w:ascii="楷体" w:hAnsi="楷体" w:eastAsia="楷体" w:cs="楷体"/>
                        <w:lang w:eastAsia="zh-CN"/>
                      </w:rPr>
                      <w:fldChar w:fldCharType="separate"/>
                    </w:r>
                    <w:r>
                      <w:rPr>
                        <w:rFonts w:hint="eastAsia" w:ascii="楷体" w:hAnsi="楷体" w:eastAsia="楷体" w:cs="楷体"/>
                        <w:lang w:eastAsia="zh-CN"/>
                      </w:rPr>
                      <w:t>1</w:t>
                    </w:r>
                    <w:r>
                      <w:rPr>
                        <w:rFonts w:hint="eastAsia" w:ascii="楷体" w:hAnsi="楷体" w:eastAsia="楷体" w:cs="楷体"/>
                        <w:lang w:eastAsia="zh-CN"/>
                      </w:rPr>
                      <w:fldChar w:fldCharType="end"/>
                    </w:r>
                    <w:r>
                      <w:rPr>
                        <w:rFonts w:hint="eastAsia" w:ascii="楷体" w:hAnsi="楷体" w:eastAsia="楷体" w:cs="楷体"/>
                        <w:lang w:eastAsia="zh-CN"/>
                      </w:rPr>
                      <w:t xml:space="preserve"> 页 共 </w:t>
                    </w:r>
                    <w:r>
                      <w:rPr>
                        <w:rFonts w:hint="eastAsia" w:ascii="楷体" w:hAnsi="楷体" w:eastAsia="楷体" w:cs="楷体"/>
                        <w:lang w:val="en-US" w:eastAsia="zh-CN"/>
                      </w:rPr>
                      <w:t>29</w:t>
                    </w:r>
                    <w:r>
                      <w:rPr>
                        <w:rFonts w:hint="eastAsia" w:ascii="楷体" w:hAnsi="楷体" w:eastAsia="楷体" w:cs="楷体"/>
                        <w:lang w:eastAsia="zh-CN"/>
                      </w:rPr>
                      <w:t xml:space="preserve"> 页</w:t>
                    </w:r>
                  </w:p>
                </w:txbxContent>
              </v:textbox>
            </v:shape>
          </w:pict>
        </mc:Fallback>
      </mc:AlternateContent>
    </w:r>
    <w:r>
      <w:rPr>
        <w:rFonts w:hint="eastAsia" w:ascii="楷体" w:hAnsi="楷体" w:eastAsia="楷体" w:cs="楷体"/>
        <w:lang w:val="en-US" w:eastAsia="zh-CN"/>
      </w:rPr>
      <w:t>湖 南 恒 兴 联 合 会 计 师 事 务 所（普通合伙）</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right"/>
      <w:rPr>
        <w:rFonts w:hint="eastAsia" w:ascii="楷体" w:hAnsi="楷体" w:eastAsia="楷体" w:cs="楷体"/>
        <w:b/>
      </w:rPr>
    </w:pPr>
  </w:p>
  <w:p>
    <w:pPr>
      <w:pStyle w:val="17"/>
      <w:pBdr>
        <w:bottom w:val="none" w:color="auto" w:sz="0" w:space="0"/>
      </w:pBdr>
    </w:pPr>
  </w:p>
  <w:p>
    <w:pPr>
      <w:pStyle w:val="17"/>
      <w:pBdr>
        <w:bottom w:val="none" w:color="auto" w:sz="0" w:space="0"/>
      </w:pBdr>
      <w:jc w:val="both"/>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jc w:val="right"/>
      <w:rPr>
        <w:rFonts w:hint="eastAsia" w:ascii="楷体" w:hAnsi="楷体" w:eastAsia="楷体" w:cs="楷体"/>
        <w:b/>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9Kf18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0p/XyQEAAJkDAAAOAAAAAAAAAAEAIAAAAB4BAABkcnMvZTJvRG9j&#10;LnhtbFBLBQYAAAAABgAGAFkBAABZBQAAAAA=&#10;">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楷体" w:hAnsi="楷体" w:eastAsia="楷体" w:cs="楷体"/>
        <w:b/>
        <w:lang w:eastAsia="zh-CN"/>
      </w:rPr>
      <w:t>2020年度</w:t>
    </w:r>
    <w:r>
      <w:rPr>
        <w:rFonts w:hint="eastAsia" w:ascii="楷体" w:hAnsi="楷体" w:eastAsia="楷体" w:cs="楷体"/>
        <w:b/>
      </w:rPr>
      <w:t>岳阳市云溪区</w:t>
    </w:r>
    <w:r>
      <w:rPr>
        <w:rFonts w:hint="eastAsia" w:ascii="楷体" w:hAnsi="楷体" w:eastAsia="楷体" w:cs="楷体"/>
        <w:b/>
        <w:lang w:eastAsia="zh-CN"/>
      </w:rPr>
      <w:t>医疗保险中心</w:t>
    </w:r>
    <w:r>
      <w:rPr>
        <w:rFonts w:hint="eastAsia" w:ascii="楷体" w:hAnsi="楷体" w:eastAsia="楷体" w:cs="楷体"/>
        <w:b/>
      </w:rPr>
      <w:t>整体支出绩效评价报告书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jc w:val="right"/>
      <w:rPr>
        <w:rFonts w:hint="eastAsia" w:ascii="楷体" w:hAnsi="楷体" w:eastAsia="楷体" w:cs="楷体"/>
        <w:b/>
      </w:rPr>
    </w:pPr>
    <w:r>
      <w:rPr>
        <w:rFonts w:hint="eastAsia" w:ascii="楷体" w:hAnsi="楷体" w:eastAsia="楷体" w:cs="楷体"/>
        <w:b/>
      </w:rPr>
      <w:t xml:space="preserve">                                         </w:t>
    </w:r>
    <w:r>
      <w:rPr>
        <w:rFonts w:hint="eastAsia" w:ascii="楷体" w:hAnsi="楷体" w:eastAsia="楷体" w:cs="楷体"/>
        <w:b/>
        <w:lang w:eastAsia="zh-CN"/>
      </w:rPr>
      <w:t>岳阳市云溪区污水处理厂</w:t>
    </w:r>
    <w:r>
      <w:rPr>
        <w:rFonts w:hint="eastAsia" w:ascii="楷体" w:hAnsi="楷体" w:eastAsia="楷体" w:cs="楷体"/>
        <w:b/>
        <w:lang w:val="en-US" w:eastAsia="zh-CN"/>
      </w:rPr>
      <w:t>建设专项债券</w:t>
    </w:r>
    <w:r>
      <w:rPr>
        <w:rFonts w:hint="eastAsia" w:ascii="楷体" w:hAnsi="楷体" w:eastAsia="楷体" w:cs="楷体"/>
        <w:b/>
        <w:lang w:eastAsia="zh-CN"/>
      </w:rPr>
      <w:t>项目</w:t>
    </w:r>
    <w:r>
      <w:rPr>
        <w:rFonts w:hint="eastAsia" w:ascii="楷体" w:hAnsi="楷体" w:eastAsia="楷体" w:cs="楷体"/>
        <w:b/>
        <w:lang w:val="en-US" w:eastAsia="zh-CN"/>
      </w:rPr>
      <w:t>重点</w:t>
    </w:r>
    <w:r>
      <w:rPr>
        <w:rFonts w:hint="eastAsia" w:ascii="楷体" w:hAnsi="楷体" w:eastAsia="楷体" w:cs="楷体"/>
        <w:b/>
      </w:rPr>
      <w:t>绩效评价报告</w:t>
    </w:r>
  </w:p>
  <w:p>
    <w:pPr>
      <w:pStyle w:val="17"/>
      <w:pBdr>
        <w:bottom w:val="single" w:color="auto" w:sz="4" w:space="0"/>
      </w:pBdr>
      <w:jc w:val="both"/>
      <w:rPr>
        <w:b/>
      </w:rPr>
    </w:pPr>
    <w:r>
      <w:rPr>
        <w:rFonts w:hint="eastAsia" w:ascii="楷体" w:hAnsi="楷体" w:eastAsia="楷体" w:cs="楷体"/>
        <w:b/>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tabs>
        <w:tab w:val="left" w:pos="7392"/>
        <w:tab w:val="clear" w:pos="4153"/>
      </w:tabs>
      <w:jc w:val="both"/>
      <w:rPr>
        <w:rFonts w:hint="eastAsia" w:eastAsia="楷体"/>
        <w:b/>
        <w:lang w:eastAsia="zh-CN"/>
      </w:rPr>
    </w:pPr>
    <w:r>
      <w:rPr>
        <w:rFonts w:hint="eastAsia" w:ascii="楷体" w:hAnsi="楷体" w:eastAsia="楷体" w:cs="楷体"/>
        <w:b/>
      </w:rPr>
      <w:t xml:space="preserve">                            </w:t>
    </w:r>
    <w:r>
      <w:rPr>
        <w:rFonts w:hint="eastAsia" w:ascii="楷体" w:hAnsi="楷体" w:eastAsia="楷体" w:cs="楷体"/>
        <w:b/>
        <w:lang w:val="en-US" w:eastAsia="zh-CN"/>
      </w:rPr>
      <w:t xml:space="preserve">             </w:t>
    </w:r>
    <w:r>
      <w:rPr>
        <w:rFonts w:hint="eastAsia" w:ascii="楷体" w:hAnsi="楷体" w:eastAsia="楷体" w:cs="楷体"/>
        <w:b/>
        <w:lang w:eastAsia="zh-CN"/>
      </w:rPr>
      <w:t>岳阳市云溪区污水处理厂</w:t>
    </w:r>
    <w:r>
      <w:rPr>
        <w:rFonts w:hint="eastAsia" w:ascii="楷体" w:hAnsi="楷体" w:eastAsia="楷体" w:cs="楷体"/>
        <w:b/>
        <w:lang w:val="en-US" w:eastAsia="zh-CN"/>
      </w:rPr>
      <w:t>建设专项债券</w:t>
    </w:r>
    <w:r>
      <w:rPr>
        <w:rFonts w:hint="eastAsia" w:ascii="楷体" w:hAnsi="楷体" w:eastAsia="楷体" w:cs="楷体"/>
        <w:b/>
        <w:lang w:eastAsia="zh-CN"/>
      </w:rPr>
      <w:t>项目</w:t>
    </w:r>
    <w:r>
      <w:rPr>
        <w:rFonts w:hint="eastAsia" w:ascii="楷体" w:hAnsi="楷体" w:eastAsia="楷体" w:cs="楷体"/>
        <w:b/>
        <w:lang w:val="en-US" w:eastAsia="zh-CN"/>
      </w:rPr>
      <w:t>重点</w:t>
    </w:r>
    <w:r>
      <w:rPr>
        <w:rFonts w:hint="eastAsia" w:ascii="楷体" w:hAnsi="楷体" w:eastAsia="楷体" w:cs="楷体"/>
        <w:b/>
      </w:rPr>
      <w:t>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1AD0F3"/>
    <w:multiLevelType w:val="singleLevel"/>
    <w:tmpl w:val="B81AD0F3"/>
    <w:lvl w:ilvl="0" w:tentative="0">
      <w:start w:val="2"/>
      <w:numFmt w:val="chineseCounting"/>
      <w:suff w:val="nothing"/>
      <w:lvlText w:val="%1、"/>
      <w:lvlJc w:val="left"/>
      <w:rPr>
        <w:rFonts w:hint="eastAsia"/>
      </w:rPr>
    </w:lvl>
  </w:abstractNum>
  <w:abstractNum w:abstractNumId="1">
    <w:nsid w:val="B8765077"/>
    <w:multiLevelType w:val="singleLevel"/>
    <w:tmpl w:val="B8765077"/>
    <w:lvl w:ilvl="0" w:tentative="0">
      <w:start w:val="1"/>
      <w:numFmt w:val="decimal"/>
      <w:suff w:val="nothing"/>
      <w:lvlText w:val="%1、"/>
      <w:lvlJc w:val="left"/>
    </w:lvl>
  </w:abstractNum>
  <w:abstractNum w:abstractNumId="2">
    <w:nsid w:val="C3D445F8"/>
    <w:multiLevelType w:val="singleLevel"/>
    <w:tmpl w:val="C3D445F8"/>
    <w:lvl w:ilvl="0" w:tentative="0">
      <w:start w:val="1"/>
      <w:numFmt w:val="decimal"/>
      <w:suff w:val="nothing"/>
      <w:lvlText w:val="%1、"/>
      <w:lvlJc w:val="left"/>
    </w:lvl>
  </w:abstractNum>
  <w:abstractNum w:abstractNumId="3">
    <w:nsid w:val="D25C6168"/>
    <w:multiLevelType w:val="singleLevel"/>
    <w:tmpl w:val="D25C6168"/>
    <w:lvl w:ilvl="0" w:tentative="0">
      <w:start w:val="2"/>
      <w:numFmt w:val="chineseCounting"/>
      <w:suff w:val="nothing"/>
      <w:lvlText w:val="（%1）"/>
      <w:lvlJc w:val="left"/>
      <w:rPr>
        <w:rFonts w:hint="eastAsia"/>
      </w:rPr>
    </w:lvl>
  </w:abstractNum>
  <w:abstractNum w:abstractNumId="4">
    <w:nsid w:val="D4CE46C3"/>
    <w:multiLevelType w:val="singleLevel"/>
    <w:tmpl w:val="D4CE46C3"/>
    <w:lvl w:ilvl="0" w:tentative="0">
      <w:start w:val="3"/>
      <w:numFmt w:val="decimal"/>
      <w:suff w:val="nothing"/>
      <w:lvlText w:val="%1、"/>
      <w:lvlJc w:val="left"/>
    </w:lvl>
  </w:abstractNum>
  <w:abstractNum w:abstractNumId="5">
    <w:nsid w:val="D77EC7D5"/>
    <w:multiLevelType w:val="singleLevel"/>
    <w:tmpl w:val="D77EC7D5"/>
    <w:lvl w:ilvl="0" w:tentative="0">
      <w:start w:val="1"/>
      <w:numFmt w:val="chineseCounting"/>
      <w:suff w:val="nothing"/>
      <w:lvlText w:val="（%1）"/>
      <w:lvlJc w:val="left"/>
      <w:pPr>
        <w:ind w:left="-142"/>
      </w:pPr>
      <w:rPr>
        <w:rFonts w:hint="eastAsia"/>
      </w:rPr>
    </w:lvl>
  </w:abstractNum>
  <w:abstractNum w:abstractNumId="6">
    <w:nsid w:val="F28C2E61"/>
    <w:multiLevelType w:val="singleLevel"/>
    <w:tmpl w:val="F28C2E61"/>
    <w:lvl w:ilvl="0" w:tentative="0">
      <w:start w:val="1"/>
      <w:numFmt w:val="decimal"/>
      <w:suff w:val="nothing"/>
      <w:lvlText w:val="（%1）"/>
      <w:lvlJc w:val="left"/>
    </w:lvl>
  </w:abstractNum>
  <w:abstractNum w:abstractNumId="7">
    <w:nsid w:val="FB94C4A0"/>
    <w:multiLevelType w:val="singleLevel"/>
    <w:tmpl w:val="FB94C4A0"/>
    <w:lvl w:ilvl="0" w:tentative="0">
      <w:start w:val="2"/>
      <w:numFmt w:val="chineseCounting"/>
      <w:suff w:val="nothing"/>
      <w:lvlText w:val="（%1）"/>
      <w:lvlJc w:val="left"/>
      <w:rPr>
        <w:rFonts w:hint="eastAsia"/>
      </w:rPr>
    </w:lvl>
  </w:abstractNum>
  <w:abstractNum w:abstractNumId="8">
    <w:nsid w:val="0BF3E6E6"/>
    <w:multiLevelType w:val="singleLevel"/>
    <w:tmpl w:val="0BF3E6E6"/>
    <w:lvl w:ilvl="0" w:tentative="0">
      <w:start w:val="1"/>
      <w:numFmt w:val="decimal"/>
      <w:suff w:val="nothing"/>
      <w:lvlText w:val="（%1）"/>
      <w:lvlJc w:val="left"/>
      <w:pPr>
        <w:ind w:left="280"/>
      </w:pPr>
    </w:lvl>
  </w:abstractNum>
  <w:abstractNum w:abstractNumId="9">
    <w:nsid w:val="1F44254B"/>
    <w:multiLevelType w:val="multilevel"/>
    <w:tmpl w:val="1F44254B"/>
    <w:lvl w:ilvl="0" w:tentative="0">
      <w:start w:val="2"/>
      <w:numFmt w:val="decimal"/>
      <w:pStyle w:val="2"/>
      <w:lvlText w:val="%1"/>
      <w:lvlJc w:val="left"/>
      <w:pPr>
        <w:tabs>
          <w:tab w:val="left" w:pos="1282"/>
        </w:tabs>
        <w:ind w:left="1282" w:hanging="432"/>
      </w:pPr>
      <w:rPr>
        <w:rFonts w:hint="eastAsia"/>
      </w:rPr>
    </w:lvl>
    <w:lvl w:ilvl="1" w:tentative="0">
      <w:start w:val="1"/>
      <w:numFmt w:val="decimal"/>
      <w:pStyle w:val="3"/>
      <w:lvlText w:val="%2"/>
      <w:lvlJc w:val="left"/>
      <w:pPr>
        <w:tabs>
          <w:tab w:val="left" w:pos="1426"/>
        </w:tabs>
        <w:ind w:left="1426" w:hanging="576"/>
      </w:pPr>
      <w:rPr>
        <w:rFonts w:ascii="Times New Roman" w:hAnsi="Times New Roman" w:eastAsia="Times New Roman" w:cs="Times New Roman"/>
      </w:rPr>
    </w:lvl>
    <w:lvl w:ilvl="2" w:tentative="0">
      <w:start w:val="1"/>
      <w:numFmt w:val="decimal"/>
      <w:pStyle w:val="4"/>
      <w:lvlText w:val="%1.%2.%3"/>
      <w:lvlJc w:val="left"/>
      <w:pPr>
        <w:tabs>
          <w:tab w:val="left" w:pos="1570"/>
        </w:tabs>
        <w:ind w:left="1570" w:hanging="720"/>
      </w:pPr>
      <w:rPr>
        <w:rFonts w:hint="eastAsia"/>
      </w:rPr>
    </w:lvl>
    <w:lvl w:ilvl="3" w:tentative="0">
      <w:start w:val="1"/>
      <w:numFmt w:val="decimal"/>
      <w:pStyle w:val="5"/>
      <w:lvlText w:val="%1.%2.%3.%4"/>
      <w:lvlJc w:val="left"/>
      <w:pPr>
        <w:tabs>
          <w:tab w:val="left" w:pos="1714"/>
        </w:tabs>
        <w:ind w:left="1714" w:hanging="864"/>
      </w:pPr>
      <w:rPr>
        <w:rFonts w:hint="eastAsia"/>
      </w:rPr>
    </w:lvl>
    <w:lvl w:ilvl="4" w:tentative="0">
      <w:start w:val="1"/>
      <w:numFmt w:val="decimal"/>
      <w:pStyle w:val="6"/>
      <w:lvlText w:val="%1.%2.%3.%4.%5"/>
      <w:lvlJc w:val="left"/>
      <w:pPr>
        <w:tabs>
          <w:tab w:val="left" w:pos="1858"/>
        </w:tabs>
        <w:ind w:left="1858" w:hanging="1008"/>
      </w:pPr>
      <w:rPr>
        <w:rFonts w:hint="eastAsia"/>
      </w:rPr>
    </w:lvl>
    <w:lvl w:ilvl="5" w:tentative="0">
      <w:start w:val="1"/>
      <w:numFmt w:val="decimal"/>
      <w:pStyle w:val="7"/>
      <w:isLgl/>
      <w:lvlText w:val="%1.%2.%3.%4.%5.%6"/>
      <w:lvlJc w:val="left"/>
      <w:pPr>
        <w:tabs>
          <w:tab w:val="left" w:pos="2002"/>
        </w:tabs>
        <w:ind w:left="2002" w:hanging="1152"/>
      </w:pPr>
      <w:rPr>
        <w:rFonts w:hint="eastAsia"/>
      </w:rPr>
    </w:lvl>
    <w:lvl w:ilvl="6" w:tentative="0">
      <w:start w:val="1"/>
      <w:numFmt w:val="decimal"/>
      <w:pStyle w:val="8"/>
      <w:lvlText w:val="%1.%2.%3.%4.%5.%6.%7"/>
      <w:lvlJc w:val="left"/>
      <w:pPr>
        <w:tabs>
          <w:tab w:val="left" w:pos="2146"/>
        </w:tabs>
        <w:ind w:left="2146" w:hanging="1296"/>
      </w:pPr>
      <w:rPr>
        <w:rFonts w:hint="eastAsia"/>
      </w:rPr>
    </w:lvl>
    <w:lvl w:ilvl="7" w:tentative="0">
      <w:start w:val="1"/>
      <w:numFmt w:val="decimal"/>
      <w:pStyle w:val="9"/>
      <w:lvlText w:val="%1.%2.%3.%4.%5.%6.%7.%8"/>
      <w:lvlJc w:val="left"/>
      <w:pPr>
        <w:tabs>
          <w:tab w:val="left" w:pos="2290"/>
        </w:tabs>
        <w:ind w:left="2290" w:hanging="1440"/>
      </w:pPr>
      <w:rPr>
        <w:rFonts w:hint="eastAsia"/>
      </w:rPr>
    </w:lvl>
    <w:lvl w:ilvl="8" w:tentative="0">
      <w:start w:val="1"/>
      <w:numFmt w:val="decimal"/>
      <w:pStyle w:val="10"/>
      <w:lvlText w:val="%1.%2.%3.%4.%5.%6.%7.%8.%9"/>
      <w:lvlJc w:val="left"/>
      <w:pPr>
        <w:tabs>
          <w:tab w:val="left" w:pos="2434"/>
        </w:tabs>
        <w:ind w:left="2434" w:hanging="1584"/>
      </w:pPr>
      <w:rPr>
        <w:rFonts w:hint="eastAsia"/>
      </w:rPr>
    </w:lvl>
  </w:abstractNum>
  <w:abstractNum w:abstractNumId="10">
    <w:nsid w:val="3ABD504C"/>
    <w:multiLevelType w:val="singleLevel"/>
    <w:tmpl w:val="3ABD504C"/>
    <w:lvl w:ilvl="0" w:tentative="0">
      <w:start w:val="3"/>
      <w:numFmt w:val="chineseCounting"/>
      <w:suff w:val="nothing"/>
      <w:lvlText w:val="%1、"/>
      <w:lvlJc w:val="left"/>
      <w:pPr>
        <w:ind w:left="420" w:firstLine="0"/>
      </w:pPr>
      <w:rPr>
        <w:rFonts w:hint="eastAsia"/>
      </w:rPr>
    </w:lvl>
  </w:abstractNum>
  <w:abstractNum w:abstractNumId="11">
    <w:nsid w:val="67BA0381"/>
    <w:multiLevelType w:val="singleLevel"/>
    <w:tmpl w:val="67BA0381"/>
    <w:lvl w:ilvl="0" w:tentative="0">
      <w:start w:val="3"/>
      <w:numFmt w:val="decimal"/>
      <w:suff w:val="nothing"/>
      <w:lvlText w:val="%1、"/>
      <w:lvlJc w:val="left"/>
    </w:lvl>
  </w:abstractNum>
  <w:num w:numId="1">
    <w:abstractNumId w:val="9"/>
  </w:num>
  <w:num w:numId="2">
    <w:abstractNumId w:val="3"/>
  </w:num>
  <w:num w:numId="3">
    <w:abstractNumId w:val="11"/>
  </w:num>
  <w:num w:numId="4">
    <w:abstractNumId w:val="7"/>
  </w:num>
  <w:num w:numId="5">
    <w:abstractNumId w:val="4"/>
  </w:num>
  <w:num w:numId="6">
    <w:abstractNumId w:val="8"/>
  </w:num>
  <w:num w:numId="7">
    <w:abstractNumId w:val="2"/>
  </w:num>
  <w:num w:numId="8">
    <w:abstractNumId w:val="0"/>
  </w:num>
  <w:num w:numId="9">
    <w:abstractNumId w:val="1"/>
  </w:num>
  <w:num w:numId="10">
    <w:abstractNumId w:val="1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yMzEzZjBhOTMyODFiMGQ3Nzc4M2ZjYWQ3NjQwMTgifQ=="/>
  </w:docVars>
  <w:rsids>
    <w:rsidRoot w:val="007E7EF4"/>
    <w:rsid w:val="00001BAD"/>
    <w:rsid w:val="00002DD4"/>
    <w:rsid w:val="00005B8E"/>
    <w:rsid w:val="000061D5"/>
    <w:rsid w:val="00010781"/>
    <w:rsid w:val="00014334"/>
    <w:rsid w:val="000147E3"/>
    <w:rsid w:val="000151F4"/>
    <w:rsid w:val="00015653"/>
    <w:rsid w:val="0001616A"/>
    <w:rsid w:val="00016D4D"/>
    <w:rsid w:val="00017C53"/>
    <w:rsid w:val="00020C6B"/>
    <w:rsid w:val="00027D64"/>
    <w:rsid w:val="00030D88"/>
    <w:rsid w:val="00031596"/>
    <w:rsid w:val="00036DED"/>
    <w:rsid w:val="00040F19"/>
    <w:rsid w:val="00042217"/>
    <w:rsid w:val="00042297"/>
    <w:rsid w:val="00043444"/>
    <w:rsid w:val="0004445F"/>
    <w:rsid w:val="000451C3"/>
    <w:rsid w:val="00052F5B"/>
    <w:rsid w:val="0005325E"/>
    <w:rsid w:val="00054F53"/>
    <w:rsid w:val="000601D9"/>
    <w:rsid w:val="0006024F"/>
    <w:rsid w:val="00060A3F"/>
    <w:rsid w:val="00063E36"/>
    <w:rsid w:val="00064CFE"/>
    <w:rsid w:val="00065042"/>
    <w:rsid w:val="000676E1"/>
    <w:rsid w:val="000719AB"/>
    <w:rsid w:val="00072A52"/>
    <w:rsid w:val="00072DBD"/>
    <w:rsid w:val="000736A5"/>
    <w:rsid w:val="00074978"/>
    <w:rsid w:val="000754E9"/>
    <w:rsid w:val="000778D0"/>
    <w:rsid w:val="00077D3E"/>
    <w:rsid w:val="00083D09"/>
    <w:rsid w:val="00083F35"/>
    <w:rsid w:val="00085369"/>
    <w:rsid w:val="00087680"/>
    <w:rsid w:val="00090B0B"/>
    <w:rsid w:val="00091E62"/>
    <w:rsid w:val="00095994"/>
    <w:rsid w:val="00095B6D"/>
    <w:rsid w:val="000A0066"/>
    <w:rsid w:val="000A0B91"/>
    <w:rsid w:val="000A12C9"/>
    <w:rsid w:val="000A20CF"/>
    <w:rsid w:val="000A2820"/>
    <w:rsid w:val="000A49CB"/>
    <w:rsid w:val="000A5245"/>
    <w:rsid w:val="000A7ED2"/>
    <w:rsid w:val="000B244E"/>
    <w:rsid w:val="000B4F32"/>
    <w:rsid w:val="000C0761"/>
    <w:rsid w:val="000C5D38"/>
    <w:rsid w:val="000C6808"/>
    <w:rsid w:val="000C74F8"/>
    <w:rsid w:val="000D408B"/>
    <w:rsid w:val="000D4AC5"/>
    <w:rsid w:val="000D4B6D"/>
    <w:rsid w:val="000D5676"/>
    <w:rsid w:val="000D6B91"/>
    <w:rsid w:val="000E0157"/>
    <w:rsid w:val="000E1BB8"/>
    <w:rsid w:val="000E2663"/>
    <w:rsid w:val="000E26AD"/>
    <w:rsid w:val="000E3503"/>
    <w:rsid w:val="000E36B6"/>
    <w:rsid w:val="000E4D57"/>
    <w:rsid w:val="000E65BF"/>
    <w:rsid w:val="000F768C"/>
    <w:rsid w:val="000F7FCD"/>
    <w:rsid w:val="00101D97"/>
    <w:rsid w:val="00102774"/>
    <w:rsid w:val="00113671"/>
    <w:rsid w:val="00114E83"/>
    <w:rsid w:val="00117206"/>
    <w:rsid w:val="001179BA"/>
    <w:rsid w:val="001238C5"/>
    <w:rsid w:val="00123BAA"/>
    <w:rsid w:val="001247BA"/>
    <w:rsid w:val="001249FB"/>
    <w:rsid w:val="00124CF2"/>
    <w:rsid w:val="00124FA6"/>
    <w:rsid w:val="00126A28"/>
    <w:rsid w:val="00126AF4"/>
    <w:rsid w:val="00134047"/>
    <w:rsid w:val="0013468E"/>
    <w:rsid w:val="001347E6"/>
    <w:rsid w:val="001351A7"/>
    <w:rsid w:val="00135587"/>
    <w:rsid w:val="001359EC"/>
    <w:rsid w:val="00135D15"/>
    <w:rsid w:val="0013658E"/>
    <w:rsid w:val="001402A6"/>
    <w:rsid w:val="00143293"/>
    <w:rsid w:val="00144354"/>
    <w:rsid w:val="00150D7C"/>
    <w:rsid w:val="00151A1C"/>
    <w:rsid w:val="00161589"/>
    <w:rsid w:val="001616DA"/>
    <w:rsid w:val="00161A69"/>
    <w:rsid w:val="001650C6"/>
    <w:rsid w:val="00166DC6"/>
    <w:rsid w:val="00174AB0"/>
    <w:rsid w:val="001830FA"/>
    <w:rsid w:val="00184215"/>
    <w:rsid w:val="00185A13"/>
    <w:rsid w:val="00185E10"/>
    <w:rsid w:val="00186338"/>
    <w:rsid w:val="00190E19"/>
    <w:rsid w:val="001928D3"/>
    <w:rsid w:val="00194128"/>
    <w:rsid w:val="00195428"/>
    <w:rsid w:val="00195C89"/>
    <w:rsid w:val="00195FA3"/>
    <w:rsid w:val="00196C53"/>
    <w:rsid w:val="00197865"/>
    <w:rsid w:val="001A31B9"/>
    <w:rsid w:val="001A4269"/>
    <w:rsid w:val="001A44F4"/>
    <w:rsid w:val="001A45C6"/>
    <w:rsid w:val="001A4E86"/>
    <w:rsid w:val="001A6CD0"/>
    <w:rsid w:val="001B11C3"/>
    <w:rsid w:val="001B121A"/>
    <w:rsid w:val="001B16D8"/>
    <w:rsid w:val="001B4858"/>
    <w:rsid w:val="001C0537"/>
    <w:rsid w:val="001C255F"/>
    <w:rsid w:val="001C3D2E"/>
    <w:rsid w:val="001C7E4E"/>
    <w:rsid w:val="001D2B9F"/>
    <w:rsid w:val="001D5DF3"/>
    <w:rsid w:val="001D7558"/>
    <w:rsid w:val="001E1C3B"/>
    <w:rsid w:val="001E2C7B"/>
    <w:rsid w:val="001E4920"/>
    <w:rsid w:val="001F060C"/>
    <w:rsid w:val="001F0BD4"/>
    <w:rsid w:val="001F2519"/>
    <w:rsid w:val="001F43C4"/>
    <w:rsid w:val="00205E83"/>
    <w:rsid w:val="00212494"/>
    <w:rsid w:val="002143F0"/>
    <w:rsid w:val="0021466E"/>
    <w:rsid w:val="00214CA0"/>
    <w:rsid w:val="0021508F"/>
    <w:rsid w:val="00216545"/>
    <w:rsid w:val="00220062"/>
    <w:rsid w:val="002241B3"/>
    <w:rsid w:val="0022679A"/>
    <w:rsid w:val="00226B1C"/>
    <w:rsid w:val="0023056B"/>
    <w:rsid w:val="00230688"/>
    <w:rsid w:val="002312B9"/>
    <w:rsid w:val="0023131C"/>
    <w:rsid w:val="0023705F"/>
    <w:rsid w:val="00240A68"/>
    <w:rsid w:val="002420EF"/>
    <w:rsid w:val="00242E01"/>
    <w:rsid w:val="00251BF2"/>
    <w:rsid w:val="00252FAB"/>
    <w:rsid w:val="00254EBC"/>
    <w:rsid w:val="002553B0"/>
    <w:rsid w:val="00255562"/>
    <w:rsid w:val="00255C6F"/>
    <w:rsid w:val="002614FE"/>
    <w:rsid w:val="00262111"/>
    <w:rsid w:val="002643F7"/>
    <w:rsid w:val="00264E02"/>
    <w:rsid w:val="00266F31"/>
    <w:rsid w:val="00267091"/>
    <w:rsid w:val="002708BA"/>
    <w:rsid w:val="00270B2A"/>
    <w:rsid w:val="00272D94"/>
    <w:rsid w:val="0028464C"/>
    <w:rsid w:val="00286A5E"/>
    <w:rsid w:val="002905B6"/>
    <w:rsid w:val="00290B1B"/>
    <w:rsid w:val="00290E2C"/>
    <w:rsid w:val="0029121B"/>
    <w:rsid w:val="00291F2F"/>
    <w:rsid w:val="00295562"/>
    <w:rsid w:val="00297773"/>
    <w:rsid w:val="002A03FD"/>
    <w:rsid w:val="002A1E8B"/>
    <w:rsid w:val="002A312E"/>
    <w:rsid w:val="002B2778"/>
    <w:rsid w:val="002B462E"/>
    <w:rsid w:val="002B5197"/>
    <w:rsid w:val="002B5211"/>
    <w:rsid w:val="002B5EC8"/>
    <w:rsid w:val="002B6001"/>
    <w:rsid w:val="002B61E2"/>
    <w:rsid w:val="002B7E7E"/>
    <w:rsid w:val="002C030D"/>
    <w:rsid w:val="002C2728"/>
    <w:rsid w:val="002C3CE5"/>
    <w:rsid w:val="002C70A5"/>
    <w:rsid w:val="002C77AC"/>
    <w:rsid w:val="002D0239"/>
    <w:rsid w:val="002D1F1B"/>
    <w:rsid w:val="002D2AAD"/>
    <w:rsid w:val="002D3867"/>
    <w:rsid w:val="002D4271"/>
    <w:rsid w:val="002D4881"/>
    <w:rsid w:val="002D4F36"/>
    <w:rsid w:val="002E017E"/>
    <w:rsid w:val="002E4D2D"/>
    <w:rsid w:val="002E5BA1"/>
    <w:rsid w:val="002E6134"/>
    <w:rsid w:val="002F362D"/>
    <w:rsid w:val="002F3DDB"/>
    <w:rsid w:val="002F4045"/>
    <w:rsid w:val="002F6539"/>
    <w:rsid w:val="002F75AF"/>
    <w:rsid w:val="00300F25"/>
    <w:rsid w:val="003018D7"/>
    <w:rsid w:val="0030374E"/>
    <w:rsid w:val="00303AE3"/>
    <w:rsid w:val="00305058"/>
    <w:rsid w:val="00306D0B"/>
    <w:rsid w:val="00310019"/>
    <w:rsid w:val="00310245"/>
    <w:rsid w:val="003102A8"/>
    <w:rsid w:val="00312E58"/>
    <w:rsid w:val="00313AC0"/>
    <w:rsid w:val="00314EF2"/>
    <w:rsid w:val="00323C7A"/>
    <w:rsid w:val="0032454A"/>
    <w:rsid w:val="00334AD5"/>
    <w:rsid w:val="0033567F"/>
    <w:rsid w:val="00335853"/>
    <w:rsid w:val="003412B1"/>
    <w:rsid w:val="0034156D"/>
    <w:rsid w:val="00342C9D"/>
    <w:rsid w:val="00346453"/>
    <w:rsid w:val="0034781A"/>
    <w:rsid w:val="00350973"/>
    <w:rsid w:val="00351268"/>
    <w:rsid w:val="0035267C"/>
    <w:rsid w:val="003562DD"/>
    <w:rsid w:val="00356623"/>
    <w:rsid w:val="00364651"/>
    <w:rsid w:val="00367DE7"/>
    <w:rsid w:val="0037056E"/>
    <w:rsid w:val="00370AD1"/>
    <w:rsid w:val="003718E3"/>
    <w:rsid w:val="0037337E"/>
    <w:rsid w:val="0037345A"/>
    <w:rsid w:val="00374E22"/>
    <w:rsid w:val="00375F24"/>
    <w:rsid w:val="003764B7"/>
    <w:rsid w:val="00376B82"/>
    <w:rsid w:val="00377A93"/>
    <w:rsid w:val="00381E81"/>
    <w:rsid w:val="003832D8"/>
    <w:rsid w:val="00384BAC"/>
    <w:rsid w:val="00392417"/>
    <w:rsid w:val="00394F77"/>
    <w:rsid w:val="00397B02"/>
    <w:rsid w:val="00397B18"/>
    <w:rsid w:val="003A021A"/>
    <w:rsid w:val="003A041B"/>
    <w:rsid w:val="003A2E4D"/>
    <w:rsid w:val="003A37F4"/>
    <w:rsid w:val="003A472B"/>
    <w:rsid w:val="003A774B"/>
    <w:rsid w:val="003B0DF0"/>
    <w:rsid w:val="003B7F47"/>
    <w:rsid w:val="003C0AF9"/>
    <w:rsid w:val="003C1408"/>
    <w:rsid w:val="003C3ADC"/>
    <w:rsid w:val="003C6C53"/>
    <w:rsid w:val="003C7220"/>
    <w:rsid w:val="003D03E6"/>
    <w:rsid w:val="003D1AA0"/>
    <w:rsid w:val="003D1DE6"/>
    <w:rsid w:val="003D33DE"/>
    <w:rsid w:val="003D3981"/>
    <w:rsid w:val="003D61B7"/>
    <w:rsid w:val="003E2CB1"/>
    <w:rsid w:val="003E5356"/>
    <w:rsid w:val="003E5761"/>
    <w:rsid w:val="003E5E1D"/>
    <w:rsid w:val="003E6053"/>
    <w:rsid w:val="003F01CA"/>
    <w:rsid w:val="003F35BE"/>
    <w:rsid w:val="003F44F3"/>
    <w:rsid w:val="003F6AE8"/>
    <w:rsid w:val="0040060E"/>
    <w:rsid w:val="004008FA"/>
    <w:rsid w:val="00401491"/>
    <w:rsid w:val="00403DAF"/>
    <w:rsid w:val="00407AFC"/>
    <w:rsid w:val="00411875"/>
    <w:rsid w:val="0041266E"/>
    <w:rsid w:val="00412ECC"/>
    <w:rsid w:val="00413CCB"/>
    <w:rsid w:val="00414491"/>
    <w:rsid w:val="00415E5C"/>
    <w:rsid w:val="004228EF"/>
    <w:rsid w:val="0042528E"/>
    <w:rsid w:val="004266B0"/>
    <w:rsid w:val="00427C5F"/>
    <w:rsid w:val="0043028A"/>
    <w:rsid w:val="00430CCA"/>
    <w:rsid w:val="004310A0"/>
    <w:rsid w:val="004310E3"/>
    <w:rsid w:val="00431835"/>
    <w:rsid w:val="004321F7"/>
    <w:rsid w:val="004335F1"/>
    <w:rsid w:val="004349B1"/>
    <w:rsid w:val="00437418"/>
    <w:rsid w:val="00437431"/>
    <w:rsid w:val="00440384"/>
    <w:rsid w:val="00440DE0"/>
    <w:rsid w:val="0044195D"/>
    <w:rsid w:val="00444E83"/>
    <w:rsid w:val="00447AB9"/>
    <w:rsid w:val="00450108"/>
    <w:rsid w:val="0045097D"/>
    <w:rsid w:val="00451A50"/>
    <w:rsid w:val="00452662"/>
    <w:rsid w:val="004559C2"/>
    <w:rsid w:val="00456249"/>
    <w:rsid w:val="00456F5D"/>
    <w:rsid w:val="00460D68"/>
    <w:rsid w:val="00466526"/>
    <w:rsid w:val="004731D7"/>
    <w:rsid w:val="004763AF"/>
    <w:rsid w:val="004765AA"/>
    <w:rsid w:val="004768D6"/>
    <w:rsid w:val="0047690D"/>
    <w:rsid w:val="0048138E"/>
    <w:rsid w:val="00483999"/>
    <w:rsid w:val="0048731E"/>
    <w:rsid w:val="00491186"/>
    <w:rsid w:val="004920F4"/>
    <w:rsid w:val="00492B45"/>
    <w:rsid w:val="00497C23"/>
    <w:rsid w:val="004A047D"/>
    <w:rsid w:val="004A30CA"/>
    <w:rsid w:val="004A3B58"/>
    <w:rsid w:val="004A42CE"/>
    <w:rsid w:val="004A474B"/>
    <w:rsid w:val="004B3EA3"/>
    <w:rsid w:val="004B55F0"/>
    <w:rsid w:val="004B5EC8"/>
    <w:rsid w:val="004B603D"/>
    <w:rsid w:val="004B6C56"/>
    <w:rsid w:val="004C28DA"/>
    <w:rsid w:val="004C2B53"/>
    <w:rsid w:val="004C5E83"/>
    <w:rsid w:val="004D131F"/>
    <w:rsid w:val="004D2464"/>
    <w:rsid w:val="004E224E"/>
    <w:rsid w:val="004E2BA4"/>
    <w:rsid w:val="004E2C38"/>
    <w:rsid w:val="004E3D79"/>
    <w:rsid w:val="004E484D"/>
    <w:rsid w:val="004F1B2A"/>
    <w:rsid w:val="004F20A1"/>
    <w:rsid w:val="004F28DA"/>
    <w:rsid w:val="004F32C2"/>
    <w:rsid w:val="00501C64"/>
    <w:rsid w:val="00503EFA"/>
    <w:rsid w:val="0050613A"/>
    <w:rsid w:val="005109E6"/>
    <w:rsid w:val="00511D0B"/>
    <w:rsid w:val="005130E0"/>
    <w:rsid w:val="00514636"/>
    <w:rsid w:val="005163E4"/>
    <w:rsid w:val="00520B2E"/>
    <w:rsid w:val="00521853"/>
    <w:rsid w:val="00522B73"/>
    <w:rsid w:val="0052616D"/>
    <w:rsid w:val="0053029D"/>
    <w:rsid w:val="00535446"/>
    <w:rsid w:val="00536D9B"/>
    <w:rsid w:val="00540291"/>
    <w:rsid w:val="00540911"/>
    <w:rsid w:val="00543060"/>
    <w:rsid w:val="00543890"/>
    <w:rsid w:val="005464E6"/>
    <w:rsid w:val="00546639"/>
    <w:rsid w:val="005541BA"/>
    <w:rsid w:val="00554A23"/>
    <w:rsid w:val="00557C71"/>
    <w:rsid w:val="0056561F"/>
    <w:rsid w:val="00567804"/>
    <w:rsid w:val="00577F98"/>
    <w:rsid w:val="00580D9D"/>
    <w:rsid w:val="005816D9"/>
    <w:rsid w:val="005917CA"/>
    <w:rsid w:val="00592A06"/>
    <w:rsid w:val="00593540"/>
    <w:rsid w:val="0059541B"/>
    <w:rsid w:val="00595C76"/>
    <w:rsid w:val="005962BF"/>
    <w:rsid w:val="005978A3"/>
    <w:rsid w:val="005A5E89"/>
    <w:rsid w:val="005A664B"/>
    <w:rsid w:val="005B11EF"/>
    <w:rsid w:val="005B45B9"/>
    <w:rsid w:val="005B4FC1"/>
    <w:rsid w:val="005B5639"/>
    <w:rsid w:val="005B56FD"/>
    <w:rsid w:val="005B78F5"/>
    <w:rsid w:val="005C1D29"/>
    <w:rsid w:val="005C1DE1"/>
    <w:rsid w:val="005C242E"/>
    <w:rsid w:val="005C5631"/>
    <w:rsid w:val="005C6146"/>
    <w:rsid w:val="005C6390"/>
    <w:rsid w:val="005C7AE0"/>
    <w:rsid w:val="005D0375"/>
    <w:rsid w:val="005D4F4C"/>
    <w:rsid w:val="005D6222"/>
    <w:rsid w:val="005D6D99"/>
    <w:rsid w:val="005D6FCD"/>
    <w:rsid w:val="005E1405"/>
    <w:rsid w:val="005E1824"/>
    <w:rsid w:val="005E498E"/>
    <w:rsid w:val="005E55FF"/>
    <w:rsid w:val="005F190C"/>
    <w:rsid w:val="005F2872"/>
    <w:rsid w:val="005F3C2F"/>
    <w:rsid w:val="005F48DD"/>
    <w:rsid w:val="006002B2"/>
    <w:rsid w:val="00601164"/>
    <w:rsid w:val="006119A3"/>
    <w:rsid w:val="00613579"/>
    <w:rsid w:val="00615657"/>
    <w:rsid w:val="00620155"/>
    <w:rsid w:val="0063691A"/>
    <w:rsid w:val="00637427"/>
    <w:rsid w:val="00644C8F"/>
    <w:rsid w:val="00644E4A"/>
    <w:rsid w:val="006455E7"/>
    <w:rsid w:val="00647186"/>
    <w:rsid w:val="0065138E"/>
    <w:rsid w:val="006525D5"/>
    <w:rsid w:val="00652654"/>
    <w:rsid w:val="00653F24"/>
    <w:rsid w:val="006558AD"/>
    <w:rsid w:val="00656896"/>
    <w:rsid w:val="006574D6"/>
    <w:rsid w:val="006578B7"/>
    <w:rsid w:val="00661E4B"/>
    <w:rsid w:val="006658D9"/>
    <w:rsid w:val="00667431"/>
    <w:rsid w:val="0067309A"/>
    <w:rsid w:val="00673AAC"/>
    <w:rsid w:val="0067640A"/>
    <w:rsid w:val="00676B86"/>
    <w:rsid w:val="006775E4"/>
    <w:rsid w:val="00680415"/>
    <w:rsid w:val="00680BF4"/>
    <w:rsid w:val="006864DF"/>
    <w:rsid w:val="0069154F"/>
    <w:rsid w:val="00691D57"/>
    <w:rsid w:val="00691E60"/>
    <w:rsid w:val="00693363"/>
    <w:rsid w:val="006969F7"/>
    <w:rsid w:val="00696F5F"/>
    <w:rsid w:val="006A458D"/>
    <w:rsid w:val="006A5EA4"/>
    <w:rsid w:val="006A7E2A"/>
    <w:rsid w:val="006B3503"/>
    <w:rsid w:val="006B48FC"/>
    <w:rsid w:val="006B68C4"/>
    <w:rsid w:val="006C02DB"/>
    <w:rsid w:val="006C326A"/>
    <w:rsid w:val="006C3A1D"/>
    <w:rsid w:val="006C489E"/>
    <w:rsid w:val="006C4DA9"/>
    <w:rsid w:val="006C4FC5"/>
    <w:rsid w:val="006D6B79"/>
    <w:rsid w:val="006D7829"/>
    <w:rsid w:val="006E30ED"/>
    <w:rsid w:val="006E3982"/>
    <w:rsid w:val="006E44B1"/>
    <w:rsid w:val="006E46B2"/>
    <w:rsid w:val="006E4788"/>
    <w:rsid w:val="006E6187"/>
    <w:rsid w:val="006E7F58"/>
    <w:rsid w:val="006F07BF"/>
    <w:rsid w:val="006F07CD"/>
    <w:rsid w:val="006F26C1"/>
    <w:rsid w:val="006F2972"/>
    <w:rsid w:val="006F56F1"/>
    <w:rsid w:val="006F689B"/>
    <w:rsid w:val="007070E8"/>
    <w:rsid w:val="0070749C"/>
    <w:rsid w:val="00711A84"/>
    <w:rsid w:val="0071339C"/>
    <w:rsid w:val="00714E81"/>
    <w:rsid w:val="007171C2"/>
    <w:rsid w:val="007171FF"/>
    <w:rsid w:val="007178A9"/>
    <w:rsid w:val="007178DE"/>
    <w:rsid w:val="0072113D"/>
    <w:rsid w:val="00722435"/>
    <w:rsid w:val="0072281C"/>
    <w:rsid w:val="007234B5"/>
    <w:rsid w:val="0072368F"/>
    <w:rsid w:val="007253E3"/>
    <w:rsid w:val="0072645B"/>
    <w:rsid w:val="00726DC4"/>
    <w:rsid w:val="00734DED"/>
    <w:rsid w:val="007357D8"/>
    <w:rsid w:val="00737C0C"/>
    <w:rsid w:val="00741A58"/>
    <w:rsid w:val="00742CF1"/>
    <w:rsid w:val="0074412F"/>
    <w:rsid w:val="007449F2"/>
    <w:rsid w:val="007535A1"/>
    <w:rsid w:val="00754171"/>
    <w:rsid w:val="0075438D"/>
    <w:rsid w:val="00756F1A"/>
    <w:rsid w:val="00762AEF"/>
    <w:rsid w:val="00764A0B"/>
    <w:rsid w:val="00765FB0"/>
    <w:rsid w:val="00767936"/>
    <w:rsid w:val="00770F53"/>
    <w:rsid w:val="007767FC"/>
    <w:rsid w:val="0078032F"/>
    <w:rsid w:val="00780D8A"/>
    <w:rsid w:val="007819D0"/>
    <w:rsid w:val="00784C2E"/>
    <w:rsid w:val="00785EBE"/>
    <w:rsid w:val="0079371C"/>
    <w:rsid w:val="00793BAB"/>
    <w:rsid w:val="00796B0C"/>
    <w:rsid w:val="007A06F5"/>
    <w:rsid w:val="007A1515"/>
    <w:rsid w:val="007A21D3"/>
    <w:rsid w:val="007B0D50"/>
    <w:rsid w:val="007B1EB7"/>
    <w:rsid w:val="007B4B6C"/>
    <w:rsid w:val="007B4CD4"/>
    <w:rsid w:val="007B542D"/>
    <w:rsid w:val="007B5DB6"/>
    <w:rsid w:val="007B606E"/>
    <w:rsid w:val="007C3C20"/>
    <w:rsid w:val="007C7FCD"/>
    <w:rsid w:val="007D0147"/>
    <w:rsid w:val="007D4B19"/>
    <w:rsid w:val="007D73AB"/>
    <w:rsid w:val="007D792F"/>
    <w:rsid w:val="007D7B20"/>
    <w:rsid w:val="007E011B"/>
    <w:rsid w:val="007E3224"/>
    <w:rsid w:val="007E3AC7"/>
    <w:rsid w:val="007E4D98"/>
    <w:rsid w:val="007E68DF"/>
    <w:rsid w:val="007E7553"/>
    <w:rsid w:val="007E7EF4"/>
    <w:rsid w:val="007F07AA"/>
    <w:rsid w:val="007F46CE"/>
    <w:rsid w:val="007F4CC9"/>
    <w:rsid w:val="007F63EB"/>
    <w:rsid w:val="007F65CB"/>
    <w:rsid w:val="00802352"/>
    <w:rsid w:val="0080379C"/>
    <w:rsid w:val="0080645D"/>
    <w:rsid w:val="00806E85"/>
    <w:rsid w:val="00807A19"/>
    <w:rsid w:val="00813DCB"/>
    <w:rsid w:val="00814890"/>
    <w:rsid w:val="00816A7E"/>
    <w:rsid w:val="0082537A"/>
    <w:rsid w:val="008264C4"/>
    <w:rsid w:val="008303AD"/>
    <w:rsid w:val="008431DD"/>
    <w:rsid w:val="00843585"/>
    <w:rsid w:val="0084473F"/>
    <w:rsid w:val="008476B0"/>
    <w:rsid w:val="00850429"/>
    <w:rsid w:val="008506F1"/>
    <w:rsid w:val="0085160A"/>
    <w:rsid w:val="00852202"/>
    <w:rsid w:val="008526D2"/>
    <w:rsid w:val="00852F4C"/>
    <w:rsid w:val="00853F64"/>
    <w:rsid w:val="00854107"/>
    <w:rsid w:val="008545B2"/>
    <w:rsid w:val="00856CC4"/>
    <w:rsid w:val="008578D9"/>
    <w:rsid w:val="0086063D"/>
    <w:rsid w:val="008607BB"/>
    <w:rsid w:val="00862303"/>
    <w:rsid w:val="0086245F"/>
    <w:rsid w:val="00862BED"/>
    <w:rsid w:val="00864376"/>
    <w:rsid w:val="008655B9"/>
    <w:rsid w:val="0087549B"/>
    <w:rsid w:val="00877636"/>
    <w:rsid w:val="00880AD2"/>
    <w:rsid w:val="00882153"/>
    <w:rsid w:val="008846AA"/>
    <w:rsid w:val="00886486"/>
    <w:rsid w:val="0089292F"/>
    <w:rsid w:val="00895BAF"/>
    <w:rsid w:val="00897D90"/>
    <w:rsid w:val="008A0DE7"/>
    <w:rsid w:val="008A1CB8"/>
    <w:rsid w:val="008A2D37"/>
    <w:rsid w:val="008A3A7C"/>
    <w:rsid w:val="008A3FDB"/>
    <w:rsid w:val="008A53CE"/>
    <w:rsid w:val="008A7862"/>
    <w:rsid w:val="008B17C8"/>
    <w:rsid w:val="008B710F"/>
    <w:rsid w:val="008C0890"/>
    <w:rsid w:val="008C1D00"/>
    <w:rsid w:val="008C39F2"/>
    <w:rsid w:val="008C64C5"/>
    <w:rsid w:val="008C6719"/>
    <w:rsid w:val="008C72E9"/>
    <w:rsid w:val="008C7A03"/>
    <w:rsid w:val="008D1006"/>
    <w:rsid w:val="008D506D"/>
    <w:rsid w:val="008D5E3B"/>
    <w:rsid w:val="008D67A5"/>
    <w:rsid w:val="008D67AF"/>
    <w:rsid w:val="008E03E5"/>
    <w:rsid w:val="008E0C43"/>
    <w:rsid w:val="008E141A"/>
    <w:rsid w:val="008E2454"/>
    <w:rsid w:val="008E4EF4"/>
    <w:rsid w:val="008E53CE"/>
    <w:rsid w:val="008F01EC"/>
    <w:rsid w:val="008F3384"/>
    <w:rsid w:val="008F53D7"/>
    <w:rsid w:val="0090024A"/>
    <w:rsid w:val="00906B78"/>
    <w:rsid w:val="009106DF"/>
    <w:rsid w:val="009127C1"/>
    <w:rsid w:val="00913553"/>
    <w:rsid w:val="00913B59"/>
    <w:rsid w:val="00915D2F"/>
    <w:rsid w:val="009218F1"/>
    <w:rsid w:val="009225F4"/>
    <w:rsid w:val="00922D6C"/>
    <w:rsid w:val="009361F9"/>
    <w:rsid w:val="009407F3"/>
    <w:rsid w:val="009472A2"/>
    <w:rsid w:val="00951857"/>
    <w:rsid w:val="009519D8"/>
    <w:rsid w:val="00952ECD"/>
    <w:rsid w:val="00957990"/>
    <w:rsid w:val="00960C74"/>
    <w:rsid w:val="0096169F"/>
    <w:rsid w:val="0096191D"/>
    <w:rsid w:val="00962525"/>
    <w:rsid w:val="00962FC1"/>
    <w:rsid w:val="00964951"/>
    <w:rsid w:val="00967080"/>
    <w:rsid w:val="00970A19"/>
    <w:rsid w:val="00970D78"/>
    <w:rsid w:val="00973EA2"/>
    <w:rsid w:val="00974698"/>
    <w:rsid w:val="009777D9"/>
    <w:rsid w:val="00977FCA"/>
    <w:rsid w:val="00980FB6"/>
    <w:rsid w:val="00982021"/>
    <w:rsid w:val="00985847"/>
    <w:rsid w:val="00985DF2"/>
    <w:rsid w:val="009932E2"/>
    <w:rsid w:val="00994244"/>
    <w:rsid w:val="009A003A"/>
    <w:rsid w:val="009A1279"/>
    <w:rsid w:val="009A170A"/>
    <w:rsid w:val="009A1A3D"/>
    <w:rsid w:val="009A33B4"/>
    <w:rsid w:val="009A7FE9"/>
    <w:rsid w:val="009B39D5"/>
    <w:rsid w:val="009B4960"/>
    <w:rsid w:val="009B5B00"/>
    <w:rsid w:val="009B5FBA"/>
    <w:rsid w:val="009B68DD"/>
    <w:rsid w:val="009B6A4D"/>
    <w:rsid w:val="009B73F5"/>
    <w:rsid w:val="009B74A2"/>
    <w:rsid w:val="009C0984"/>
    <w:rsid w:val="009C0F5B"/>
    <w:rsid w:val="009C0FE7"/>
    <w:rsid w:val="009C1C8B"/>
    <w:rsid w:val="009C2DE8"/>
    <w:rsid w:val="009C3E75"/>
    <w:rsid w:val="009C6FFC"/>
    <w:rsid w:val="009C73AA"/>
    <w:rsid w:val="009D05F2"/>
    <w:rsid w:val="009D1561"/>
    <w:rsid w:val="009D2E70"/>
    <w:rsid w:val="009D50CC"/>
    <w:rsid w:val="009D5450"/>
    <w:rsid w:val="009D591C"/>
    <w:rsid w:val="009D7263"/>
    <w:rsid w:val="009E0CE9"/>
    <w:rsid w:val="009E4761"/>
    <w:rsid w:val="009E5352"/>
    <w:rsid w:val="009E5B26"/>
    <w:rsid w:val="009F04CE"/>
    <w:rsid w:val="009F1F60"/>
    <w:rsid w:val="009F2C6C"/>
    <w:rsid w:val="009F579D"/>
    <w:rsid w:val="009F7939"/>
    <w:rsid w:val="00A04850"/>
    <w:rsid w:val="00A10504"/>
    <w:rsid w:val="00A149AA"/>
    <w:rsid w:val="00A14E2F"/>
    <w:rsid w:val="00A15A68"/>
    <w:rsid w:val="00A174D8"/>
    <w:rsid w:val="00A23313"/>
    <w:rsid w:val="00A269AF"/>
    <w:rsid w:val="00A30BC2"/>
    <w:rsid w:val="00A31BFE"/>
    <w:rsid w:val="00A3575A"/>
    <w:rsid w:val="00A36586"/>
    <w:rsid w:val="00A4045C"/>
    <w:rsid w:val="00A41E59"/>
    <w:rsid w:val="00A42877"/>
    <w:rsid w:val="00A42E19"/>
    <w:rsid w:val="00A46211"/>
    <w:rsid w:val="00A46483"/>
    <w:rsid w:val="00A4760A"/>
    <w:rsid w:val="00A504A6"/>
    <w:rsid w:val="00A50CA0"/>
    <w:rsid w:val="00A51200"/>
    <w:rsid w:val="00A533A3"/>
    <w:rsid w:val="00A568B4"/>
    <w:rsid w:val="00A5769F"/>
    <w:rsid w:val="00A615ED"/>
    <w:rsid w:val="00A61FB4"/>
    <w:rsid w:val="00A67E3A"/>
    <w:rsid w:val="00A71123"/>
    <w:rsid w:val="00A71504"/>
    <w:rsid w:val="00A73B07"/>
    <w:rsid w:val="00A75148"/>
    <w:rsid w:val="00A77378"/>
    <w:rsid w:val="00A80A2B"/>
    <w:rsid w:val="00A825A9"/>
    <w:rsid w:val="00A8393D"/>
    <w:rsid w:val="00A84BEE"/>
    <w:rsid w:val="00A86B19"/>
    <w:rsid w:val="00A9196C"/>
    <w:rsid w:val="00A932E6"/>
    <w:rsid w:val="00AA13B9"/>
    <w:rsid w:val="00AA276A"/>
    <w:rsid w:val="00AB150B"/>
    <w:rsid w:val="00AB1D97"/>
    <w:rsid w:val="00AB5C06"/>
    <w:rsid w:val="00AB6D73"/>
    <w:rsid w:val="00AC55D8"/>
    <w:rsid w:val="00AC5848"/>
    <w:rsid w:val="00AC6C83"/>
    <w:rsid w:val="00AC7CF0"/>
    <w:rsid w:val="00AD2C64"/>
    <w:rsid w:val="00AD66BD"/>
    <w:rsid w:val="00AD7359"/>
    <w:rsid w:val="00AE1A49"/>
    <w:rsid w:val="00AF2211"/>
    <w:rsid w:val="00AF2802"/>
    <w:rsid w:val="00B00B29"/>
    <w:rsid w:val="00B00CAF"/>
    <w:rsid w:val="00B046B5"/>
    <w:rsid w:val="00B05362"/>
    <w:rsid w:val="00B07034"/>
    <w:rsid w:val="00B1489A"/>
    <w:rsid w:val="00B15333"/>
    <w:rsid w:val="00B15B0D"/>
    <w:rsid w:val="00B16FB3"/>
    <w:rsid w:val="00B21718"/>
    <w:rsid w:val="00B2220B"/>
    <w:rsid w:val="00B241B1"/>
    <w:rsid w:val="00B25519"/>
    <w:rsid w:val="00B26365"/>
    <w:rsid w:val="00B30623"/>
    <w:rsid w:val="00B35842"/>
    <w:rsid w:val="00B41657"/>
    <w:rsid w:val="00B41DBC"/>
    <w:rsid w:val="00B4212A"/>
    <w:rsid w:val="00B42297"/>
    <w:rsid w:val="00B42AD6"/>
    <w:rsid w:val="00B43F2B"/>
    <w:rsid w:val="00B46CE2"/>
    <w:rsid w:val="00B4757D"/>
    <w:rsid w:val="00B475D1"/>
    <w:rsid w:val="00B47C06"/>
    <w:rsid w:val="00B47F7C"/>
    <w:rsid w:val="00B50DBA"/>
    <w:rsid w:val="00B51C6A"/>
    <w:rsid w:val="00B527E8"/>
    <w:rsid w:val="00B55B2D"/>
    <w:rsid w:val="00B55D12"/>
    <w:rsid w:val="00B568F7"/>
    <w:rsid w:val="00B64D08"/>
    <w:rsid w:val="00B66A91"/>
    <w:rsid w:val="00B7160B"/>
    <w:rsid w:val="00B7160F"/>
    <w:rsid w:val="00B72089"/>
    <w:rsid w:val="00B726E2"/>
    <w:rsid w:val="00B74A32"/>
    <w:rsid w:val="00B74F91"/>
    <w:rsid w:val="00B752AC"/>
    <w:rsid w:val="00B75C27"/>
    <w:rsid w:val="00B75CB4"/>
    <w:rsid w:val="00B80379"/>
    <w:rsid w:val="00B82ED2"/>
    <w:rsid w:val="00B839E0"/>
    <w:rsid w:val="00B855FA"/>
    <w:rsid w:val="00B87509"/>
    <w:rsid w:val="00B91675"/>
    <w:rsid w:val="00B9520A"/>
    <w:rsid w:val="00B96A4C"/>
    <w:rsid w:val="00B96E42"/>
    <w:rsid w:val="00BA113A"/>
    <w:rsid w:val="00BA39D5"/>
    <w:rsid w:val="00BA4A89"/>
    <w:rsid w:val="00BA4EC5"/>
    <w:rsid w:val="00BA7286"/>
    <w:rsid w:val="00BA790B"/>
    <w:rsid w:val="00BB0747"/>
    <w:rsid w:val="00BB269C"/>
    <w:rsid w:val="00BB2FCC"/>
    <w:rsid w:val="00BB3C02"/>
    <w:rsid w:val="00BB40B5"/>
    <w:rsid w:val="00BB5DFF"/>
    <w:rsid w:val="00BC149B"/>
    <w:rsid w:val="00BC1873"/>
    <w:rsid w:val="00BC19DF"/>
    <w:rsid w:val="00BC659F"/>
    <w:rsid w:val="00BD0DA3"/>
    <w:rsid w:val="00BD1819"/>
    <w:rsid w:val="00BD1C67"/>
    <w:rsid w:val="00BD21A5"/>
    <w:rsid w:val="00BD26CB"/>
    <w:rsid w:val="00BD4B9F"/>
    <w:rsid w:val="00BD558A"/>
    <w:rsid w:val="00BD642E"/>
    <w:rsid w:val="00BE2B5A"/>
    <w:rsid w:val="00BE5171"/>
    <w:rsid w:val="00BE6807"/>
    <w:rsid w:val="00BF1C5A"/>
    <w:rsid w:val="00BF2DE8"/>
    <w:rsid w:val="00BF5DBE"/>
    <w:rsid w:val="00C046E5"/>
    <w:rsid w:val="00C054B2"/>
    <w:rsid w:val="00C10289"/>
    <w:rsid w:val="00C10FC6"/>
    <w:rsid w:val="00C14CD6"/>
    <w:rsid w:val="00C16463"/>
    <w:rsid w:val="00C1692B"/>
    <w:rsid w:val="00C20BBC"/>
    <w:rsid w:val="00C21FA5"/>
    <w:rsid w:val="00C23A57"/>
    <w:rsid w:val="00C31343"/>
    <w:rsid w:val="00C33AE1"/>
    <w:rsid w:val="00C345F6"/>
    <w:rsid w:val="00C375A3"/>
    <w:rsid w:val="00C4049B"/>
    <w:rsid w:val="00C40B03"/>
    <w:rsid w:val="00C41669"/>
    <w:rsid w:val="00C44821"/>
    <w:rsid w:val="00C4600D"/>
    <w:rsid w:val="00C5155A"/>
    <w:rsid w:val="00C54481"/>
    <w:rsid w:val="00C5736C"/>
    <w:rsid w:val="00C65CB1"/>
    <w:rsid w:val="00C70C8B"/>
    <w:rsid w:val="00C739C2"/>
    <w:rsid w:val="00C77D26"/>
    <w:rsid w:val="00C804DB"/>
    <w:rsid w:val="00C818C8"/>
    <w:rsid w:val="00C86FAB"/>
    <w:rsid w:val="00C879DA"/>
    <w:rsid w:val="00C94451"/>
    <w:rsid w:val="00C9589D"/>
    <w:rsid w:val="00C95A5F"/>
    <w:rsid w:val="00CA19B6"/>
    <w:rsid w:val="00CA2FA0"/>
    <w:rsid w:val="00CA4E23"/>
    <w:rsid w:val="00CA57FD"/>
    <w:rsid w:val="00CA7BA1"/>
    <w:rsid w:val="00CA7CAE"/>
    <w:rsid w:val="00CB259A"/>
    <w:rsid w:val="00CB3963"/>
    <w:rsid w:val="00CB3B8A"/>
    <w:rsid w:val="00CB4D84"/>
    <w:rsid w:val="00CC0B77"/>
    <w:rsid w:val="00CC229B"/>
    <w:rsid w:val="00CC334A"/>
    <w:rsid w:val="00CC4011"/>
    <w:rsid w:val="00CC6730"/>
    <w:rsid w:val="00CD052D"/>
    <w:rsid w:val="00CD06F4"/>
    <w:rsid w:val="00CD632A"/>
    <w:rsid w:val="00CD646B"/>
    <w:rsid w:val="00CE03B5"/>
    <w:rsid w:val="00CE269A"/>
    <w:rsid w:val="00CE2C36"/>
    <w:rsid w:val="00CE70E3"/>
    <w:rsid w:val="00CE7A75"/>
    <w:rsid w:val="00CF149B"/>
    <w:rsid w:val="00CF2A24"/>
    <w:rsid w:val="00CF349F"/>
    <w:rsid w:val="00CF4498"/>
    <w:rsid w:val="00CF49E5"/>
    <w:rsid w:val="00CF5624"/>
    <w:rsid w:val="00CF5674"/>
    <w:rsid w:val="00CF64B2"/>
    <w:rsid w:val="00CF673F"/>
    <w:rsid w:val="00D01141"/>
    <w:rsid w:val="00D0210C"/>
    <w:rsid w:val="00D0450C"/>
    <w:rsid w:val="00D055C1"/>
    <w:rsid w:val="00D056D9"/>
    <w:rsid w:val="00D07255"/>
    <w:rsid w:val="00D12307"/>
    <w:rsid w:val="00D1244B"/>
    <w:rsid w:val="00D12577"/>
    <w:rsid w:val="00D15C22"/>
    <w:rsid w:val="00D165F3"/>
    <w:rsid w:val="00D22586"/>
    <w:rsid w:val="00D227A5"/>
    <w:rsid w:val="00D264DE"/>
    <w:rsid w:val="00D27880"/>
    <w:rsid w:val="00D27DEB"/>
    <w:rsid w:val="00D367C1"/>
    <w:rsid w:val="00D409B8"/>
    <w:rsid w:val="00D410A4"/>
    <w:rsid w:val="00D417FB"/>
    <w:rsid w:val="00D43F17"/>
    <w:rsid w:val="00D442DE"/>
    <w:rsid w:val="00D44DD3"/>
    <w:rsid w:val="00D47439"/>
    <w:rsid w:val="00D54967"/>
    <w:rsid w:val="00D54F98"/>
    <w:rsid w:val="00D558A1"/>
    <w:rsid w:val="00D6049C"/>
    <w:rsid w:val="00D61B5C"/>
    <w:rsid w:val="00D6402E"/>
    <w:rsid w:val="00D70397"/>
    <w:rsid w:val="00D70414"/>
    <w:rsid w:val="00D70F05"/>
    <w:rsid w:val="00D710CA"/>
    <w:rsid w:val="00D76C4D"/>
    <w:rsid w:val="00D76D56"/>
    <w:rsid w:val="00D81CFC"/>
    <w:rsid w:val="00D82EB8"/>
    <w:rsid w:val="00D8474E"/>
    <w:rsid w:val="00D86D13"/>
    <w:rsid w:val="00D91AE7"/>
    <w:rsid w:val="00D91BEE"/>
    <w:rsid w:val="00DA2C2B"/>
    <w:rsid w:val="00DA7925"/>
    <w:rsid w:val="00DB264D"/>
    <w:rsid w:val="00DB38A1"/>
    <w:rsid w:val="00DC25A4"/>
    <w:rsid w:val="00DC270A"/>
    <w:rsid w:val="00DC719A"/>
    <w:rsid w:val="00DC77F6"/>
    <w:rsid w:val="00DC7879"/>
    <w:rsid w:val="00DD033F"/>
    <w:rsid w:val="00DD0462"/>
    <w:rsid w:val="00DD2C83"/>
    <w:rsid w:val="00DD6CFB"/>
    <w:rsid w:val="00DE0231"/>
    <w:rsid w:val="00DE14E0"/>
    <w:rsid w:val="00DE1D22"/>
    <w:rsid w:val="00DE26E9"/>
    <w:rsid w:val="00DE74A8"/>
    <w:rsid w:val="00DE78BB"/>
    <w:rsid w:val="00DE78DC"/>
    <w:rsid w:val="00DF12D3"/>
    <w:rsid w:val="00DF33A1"/>
    <w:rsid w:val="00DF3A30"/>
    <w:rsid w:val="00E00470"/>
    <w:rsid w:val="00E00D87"/>
    <w:rsid w:val="00E00DCF"/>
    <w:rsid w:val="00E0282B"/>
    <w:rsid w:val="00E0351D"/>
    <w:rsid w:val="00E05DF7"/>
    <w:rsid w:val="00E079CB"/>
    <w:rsid w:val="00E1023B"/>
    <w:rsid w:val="00E1090E"/>
    <w:rsid w:val="00E11833"/>
    <w:rsid w:val="00E11994"/>
    <w:rsid w:val="00E1327E"/>
    <w:rsid w:val="00E14AD8"/>
    <w:rsid w:val="00E163A7"/>
    <w:rsid w:val="00E16455"/>
    <w:rsid w:val="00E166BD"/>
    <w:rsid w:val="00E1734D"/>
    <w:rsid w:val="00E2047C"/>
    <w:rsid w:val="00E20508"/>
    <w:rsid w:val="00E210A1"/>
    <w:rsid w:val="00E22C10"/>
    <w:rsid w:val="00E23536"/>
    <w:rsid w:val="00E276C4"/>
    <w:rsid w:val="00E301C4"/>
    <w:rsid w:val="00E30984"/>
    <w:rsid w:val="00E32DCD"/>
    <w:rsid w:val="00E32DE0"/>
    <w:rsid w:val="00E32E22"/>
    <w:rsid w:val="00E349B3"/>
    <w:rsid w:val="00E372E5"/>
    <w:rsid w:val="00E37F1B"/>
    <w:rsid w:val="00E46534"/>
    <w:rsid w:val="00E5114A"/>
    <w:rsid w:val="00E5690F"/>
    <w:rsid w:val="00E57C83"/>
    <w:rsid w:val="00E604C4"/>
    <w:rsid w:val="00E606B5"/>
    <w:rsid w:val="00E60E37"/>
    <w:rsid w:val="00E61D9D"/>
    <w:rsid w:val="00E626FF"/>
    <w:rsid w:val="00E627FB"/>
    <w:rsid w:val="00E635D7"/>
    <w:rsid w:val="00E63BA4"/>
    <w:rsid w:val="00E6438D"/>
    <w:rsid w:val="00E64ECF"/>
    <w:rsid w:val="00E67C7A"/>
    <w:rsid w:val="00E704B7"/>
    <w:rsid w:val="00E70FC6"/>
    <w:rsid w:val="00E71513"/>
    <w:rsid w:val="00E73E06"/>
    <w:rsid w:val="00E761E9"/>
    <w:rsid w:val="00E77285"/>
    <w:rsid w:val="00E810EA"/>
    <w:rsid w:val="00E817FC"/>
    <w:rsid w:val="00E83321"/>
    <w:rsid w:val="00E83B98"/>
    <w:rsid w:val="00E84105"/>
    <w:rsid w:val="00E843B1"/>
    <w:rsid w:val="00E85E11"/>
    <w:rsid w:val="00E87583"/>
    <w:rsid w:val="00E94B1C"/>
    <w:rsid w:val="00EA3358"/>
    <w:rsid w:val="00EA3E7A"/>
    <w:rsid w:val="00EA4EFA"/>
    <w:rsid w:val="00EA7EC1"/>
    <w:rsid w:val="00EB06E2"/>
    <w:rsid w:val="00EB1333"/>
    <w:rsid w:val="00EB1A16"/>
    <w:rsid w:val="00EB4A60"/>
    <w:rsid w:val="00EB68AC"/>
    <w:rsid w:val="00EB6F57"/>
    <w:rsid w:val="00EB70D0"/>
    <w:rsid w:val="00EC2440"/>
    <w:rsid w:val="00EC5546"/>
    <w:rsid w:val="00EC5FFD"/>
    <w:rsid w:val="00ED2588"/>
    <w:rsid w:val="00ED2FC4"/>
    <w:rsid w:val="00ED4123"/>
    <w:rsid w:val="00ED48D1"/>
    <w:rsid w:val="00ED5103"/>
    <w:rsid w:val="00ED6CD4"/>
    <w:rsid w:val="00EE0721"/>
    <w:rsid w:val="00EE25E4"/>
    <w:rsid w:val="00EE4137"/>
    <w:rsid w:val="00EE6FDE"/>
    <w:rsid w:val="00EE7A00"/>
    <w:rsid w:val="00EF4020"/>
    <w:rsid w:val="00EF5158"/>
    <w:rsid w:val="00EF60AE"/>
    <w:rsid w:val="00EF68C2"/>
    <w:rsid w:val="00F00513"/>
    <w:rsid w:val="00F030E1"/>
    <w:rsid w:val="00F04B7A"/>
    <w:rsid w:val="00F060AA"/>
    <w:rsid w:val="00F06626"/>
    <w:rsid w:val="00F11A59"/>
    <w:rsid w:val="00F14AC9"/>
    <w:rsid w:val="00F14F73"/>
    <w:rsid w:val="00F15592"/>
    <w:rsid w:val="00F15F56"/>
    <w:rsid w:val="00F207E0"/>
    <w:rsid w:val="00F21186"/>
    <w:rsid w:val="00F215AC"/>
    <w:rsid w:val="00F22929"/>
    <w:rsid w:val="00F22A3F"/>
    <w:rsid w:val="00F22C29"/>
    <w:rsid w:val="00F22DAE"/>
    <w:rsid w:val="00F233C2"/>
    <w:rsid w:val="00F2708C"/>
    <w:rsid w:val="00F276D2"/>
    <w:rsid w:val="00F27966"/>
    <w:rsid w:val="00F30057"/>
    <w:rsid w:val="00F323AC"/>
    <w:rsid w:val="00F32F29"/>
    <w:rsid w:val="00F34D20"/>
    <w:rsid w:val="00F40E89"/>
    <w:rsid w:val="00F41B55"/>
    <w:rsid w:val="00F4356D"/>
    <w:rsid w:val="00F46653"/>
    <w:rsid w:val="00F50D7A"/>
    <w:rsid w:val="00F5114F"/>
    <w:rsid w:val="00F52160"/>
    <w:rsid w:val="00F607E9"/>
    <w:rsid w:val="00F61A9B"/>
    <w:rsid w:val="00F6303A"/>
    <w:rsid w:val="00F637EC"/>
    <w:rsid w:val="00F72BC6"/>
    <w:rsid w:val="00F74D92"/>
    <w:rsid w:val="00F74E91"/>
    <w:rsid w:val="00F765AC"/>
    <w:rsid w:val="00F774A1"/>
    <w:rsid w:val="00F83432"/>
    <w:rsid w:val="00FA188F"/>
    <w:rsid w:val="00FA2B45"/>
    <w:rsid w:val="00FA3521"/>
    <w:rsid w:val="00FA4618"/>
    <w:rsid w:val="00FA5C6A"/>
    <w:rsid w:val="00FA70BC"/>
    <w:rsid w:val="00FB04CE"/>
    <w:rsid w:val="00FB17CB"/>
    <w:rsid w:val="00FB3D43"/>
    <w:rsid w:val="00FB5615"/>
    <w:rsid w:val="00FC111C"/>
    <w:rsid w:val="00FC36D8"/>
    <w:rsid w:val="00FC60FE"/>
    <w:rsid w:val="00FC6538"/>
    <w:rsid w:val="00FC6BBD"/>
    <w:rsid w:val="00FC7642"/>
    <w:rsid w:val="00FD04B8"/>
    <w:rsid w:val="00FD161B"/>
    <w:rsid w:val="00FD6542"/>
    <w:rsid w:val="00FD6CF8"/>
    <w:rsid w:val="00FD7C99"/>
    <w:rsid w:val="00FE06E7"/>
    <w:rsid w:val="00FE1148"/>
    <w:rsid w:val="00FE232D"/>
    <w:rsid w:val="00FE2B1F"/>
    <w:rsid w:val="00FE3ED7"/>
    <w:rsid w:val="00FE45E3"/>
    <w:rsid w:val="00FE4851"/>
    <w:rsid w:val="00FE4C70"/>
    <w:rsid w:val="00FF0EE3"/>
    <w:rsid w:val="00FF12AA"/>
    <w:rsid w:val="00FF3A0C"/>
    <w:rsid w:val="00FF3FC9"/>
    <w:rsid w:val="011B2EF3"/>
    <w:rsid w:val="0175674F"/>
    <w:rsid w:val="01E565FA"/>
    <w:rsid w:val="01F00AC2"/>
    <w:rsid w:val="02154663"/>
    <w:rsid w:val="02292863"/>
    <w:rsid w:val="0239693F"/>
    <w:rsid w:val="023A042F"/>
    <w:rsid w:val="025010BB"/>
    <w:rsid w:val="02546B6C"/>
    <w:rsid w:val="029A5126"/>
    <w:rsid w:val="02D8282F"/>
    <w:rsid w:val="032231CF"/>
    <w:rsid w:val="03277754"/>
    <w:rsid w:val="032F4B07"/>
    <w:rsid w:val="03E10EBA"/>
    <w:rsid w:val="03F655EE"/>
    <w:rsid w:val="042664DE"/>
    <w:rsid w:val="046C0CB2"/>
    <w:rsid w:val="0477536F"/>
    <w:rsid w:val="04B94F4D"/>
    <w:rsid w:val="04C21344"/>
    <w:rsid w:val="04F81DE1"/>
    <w:rsid w:val="05454338"/>
    <w:rsid w:val="05B01635"/>
    <w:rsid w:val="05E77817"/>
    <w:rsid w:val="061B04B7"/>
    <w:rsid w:val="061D2A2B"/>
    <w:rsid w:val="06315ED7"/>
    <w:rsid w:val="065151B1"/>
    <w:rsid w:val="06895999"/>
    <w:rsid w:val="06C03A9E"/>
    <w:rsid w:val="06D949CD"/>
    <w:rsid w:val="06F64EBB"/>
    <w:rsid w:val="07205A43"/>
    <w:rsid w:val="076619AB"/>
    <w:rsid w:val="077917A3"/>
    <w:rsid w:val="079E2695"/>
    <w:rsid w:val="07DB3FA1"/>
    <w:rsid w:val="08490522"/>
    <w:rsid w:val="0880218A"/>
    <w:rsid w:val="08B408A7"/>
    <w:rsid w:val="08CB2335"/>
    <w:rsid w:val="08D02FA9"/>
    <w:rsid w:val="091E7CF5"/>
    <w:rsid w:val="09380221"/>
    <w:rsid w:val="097A7C6C"/>
    <w:rsid w:val="097C48EB"/>
    <w:rsid w:val="09AE5935"/>
    <w:rsid w:val="09B12843"/>
    <w:rsid w:val="09DE6C10"/>
    <w:rsid w:val="0A1020DD"/>
    <w:rsid w:val="0A14100E"/>
    <w:rsid w:val="0A175C31"/>
    <w:rsid w:val="0A22297D"/>
    <w:rsid w:val="0A886976"/>
    <w:rsid w:val="0AC007F8"/>
    <w:rsid w:val="0ACD63C7"/>
    <w:rsid w:val="0ADC1457"/>
    <w:rsid w:val="0B1308F6"/>
    <w:rsid w:val="0B253205"/>
    <w:rsid w:val="0B25707A"/>
    <w:rsid w:val="0B5F4322"/>
    <w:rsid w:val="0B8C7DC3"/>
    <w:rsid w:val="0C1A02D7"/>
    <w:rsid w:val="0C4E061F"/>
    <w:rsid w:val="0CDD051E"/>
    <w:rsid w:val="0D107A79"/>
    <w:rsid w:val="0D167CE5"/>
    <w:rsid w:val="0D443483"/>
    <w:rsid w:val="0D9A6380"/>
    <w:rsid w:val="0DC22EC1"/>
    <w:rsid w:val="0DD759F4"/>
    <w:rsid w:val="0DFB2FB3"/>
    <w:rsid w:val="0E665386"/>
    <w:rsid w:val="0E8A6DC2"/>
    <w:rsid w:val="0EB55CA2"/>
    <w:rsid w:val="0ECA344C"/>
    <w:rsid w:val="0EFD1661"/>
    <w:rsid w:val="0F21641D"/>
    <w:rsid w:val="0F40320A"/>
    <w:rsid w:val="0F75734D"/>
    <w:rsid w:val="0FF705E9"/>
    <w:rsid w:val="10182083"/>
    <w:rsid w:val="108744B7"/>
    <w:rsid w:val="109F7C81"/>
    <w:rsid w:val="10A049A9"/>
    <w:rsid w:val="10A710B4"/>
    <w:rsid w:val="10AC2496"/>
    <w:rsid w:val="10AE050B"/>
    <w:rsid w:val="10B643FA"/>
    <w:rsid w:val="10C71AAC"/>
    <w:rsid w:val="10DA389B"/>
    <w:rsid w:val="10DA76D6"/>
    <w:rsid w:val="11325CE0"/>
    <w:rsid w:val="113A2F0E"/>
    <w:rsid w:val="11C8782E"/>
    <w:rsid w:val="11CC2A7C"/>
    <w:rsid w:val="11FE06F3"/>
    <w:rsid w:val="120558D6"/>
    <w:rsid w:val="12073485"/>
    <w:rsid w:val="122B2DC6"/>
    <w:rsid w:val="12433C06"/>
    <w:rsid w:val="126F7F50"/>
    <w:rsid w:val="128B37A6"/>
    <w:rsid w:val="12E71799"/>
    <w:rsid w:val="132A7280"/>
    <w:rsid w:val="13416D96"/>
    <w:rsid w:val="136A3DB0"/>
    <w:rsid w:val="13764A3E"/>
    <w:rsid w:val="13B677A9"/>
    <w:rsid w:val="13BE3D4A"/>
    <w:rsid w:val="13CE4FE0"/>
    <w:rsid w:val="13FC5C4F"/>
    <w:rsid w:val="142E526F"/>
    <w:rsid w:val="14A744DC"/>
    <w:rsid w:val="14AD0DD4"/>
    <w:rsid w:val="14B51D30"/>
    <w:rsid w:val="14DB4EC7"/>
    <w:rsid w:val="156B4EF5"/>
    <w:rsid w:val="159A0776"/>
    <w:rsid w:val="15D0626F"/>
    <w:rsid w:val="15D712D8"/>
    <w:rsid w:val="16615E8E"/>
    <w:rsid w:val="1677734A"/>
    <w:rsid w:val="168C541C"/>
    <w:rsid w:val="16FE48D3"/>
    <w:rsid w:val="17216AF1"/>
    <w:rsid w:val="17422B1D"/>
    <w:rsid w:val="176F2136"/>
    <w:rsid w:val="17A0322D"/>
    <w:rsid w:val="17EB1580"/>
    <w:rsid w:val="1817154F"/>
    <w:rsid w:val="187F4F37"/>
    <w:rsid w:val="189B6D62"/>
    <w:rsid w:val="18BD3B08"/>
    <w:rsid w:val="18CB0E86"/>
    <w:rsid w:val="191A645C"/>
    <w:rsid w:val="1922698B"/>
    <w:rsid w:val="1A2A1B57"/>
    <w:rsid w:val="1A505BF9"/>
    <w:rsid w:val="1AAD32C3"/>
    <w:rsid w:val="1AC960C2"/>
    <w:rsid w:val="1ADD078C"/>
    <w:rsid w:val="1AE060BE"/>
    <w:rsid w:val="1B3A7B26"/>
    <w:rsid w:val="1B506EEB"/>
    <w:rsid w:val="1B784800"/>
    <w:rsid w:val="1B7A33A9"/>
    <w:rsid w:val="1C341BE3"/>
    <w:rsid w:val="1C343E63"/>
    <w:rsid w:val="1C426CD6"/>
    <w:rsid w:val="1C54688B"/>
    <w:rsid w:val="1C5E08C4"/>
    <w:rsid w:val="1C810E6C"/>
    <w:rsid w:val="1C893C15"/>
    <w:rsid w:val="1C8C3DE3"/>
    <w:rsid w:val="1CB6087B"/>
    <w:rsid w:val="1CFC3842"/>
    <w:rsid w:val="1D5000F7"/>
    <w:rsid w:val="1D807409"/>
    <w:rsid w:val="1DB40E22"/>
    <w:rsid w:val="1E075089"/>
    <w:rsid w:val="1E2A4C19"/>
    <w:rsid w:val="1E3E1865"/>
    <w:rsid w:val="1E5F5C5F"/>
    <w:rsid w:val="1E680583"/>
    <w:rsid w:val="1E98544B"/>
    <w:rsid w:val="1E9F0221"/>
    <w:rsid w:val="1ED82539"/>
    <w:rsid w:val="1F806D36"/>
    <w:rsid w:val="1F8B60F0"/>
    <w:rsid w:val="1FF55BC4"/>
    <w:rsid w:val="20917681"/>
    <w:rsid w:val="20DA10EA"/>
    <w:rsid w:val="20F01EC6"/>
    <w:rsid w:val="21440214"/>
    <w:rsid w:val="21955768"/>
    <w:rsid w:val="2196094F"/>
    <w:rsid w:val="21A24C40"/>
    <w:rsid w:val="21FA1A16"/>
    <w:rsid w:val="221E1123"/>
    <w:rsid w:val="24021188"/>
    <w:rsid w:val="24447D76"/>
    <w:rsid w:val="24666511"/>
    <w:rsid w:val="246F0492"/>
    <w:rsid w:val="24B21A5A"/>
    <w:rsid w:val="24D10905"/>
    <w:rsid w:val="24FD246F"/>
    <w:rsid w:val="255F1D5A"/>
    <w:rsid w:val="263416AE"/>
    <w:rsid w:val="26677A64"/>
    <w:rsid w:val="26E866B4"/>
    <w:rsid w:val="27076A5B"/>
    <w:rsid w:val="27282F8D"/>
    <w:rsid w:val="27CA036D"/>
    <w:rsid w:val="27F3015D"/>
    <w:rsid w:val="28421013"/>
    <w:rsid w:val="285E79CB"/>
    <w:rsid w:val="286337EB"/>
    <w:rsid w:val="287B6F62"/>
    <w:rsid w:val="28836B25"/>
    <w:rsid w:val="288C62EA"/>
    <w:rsid w:val="28E90451"/>
    <w:rsid w:val="292066FE"/>
    <w:rsid w:val="29AC79D1"/>
    <w:rsid w:val="29B135DD"/>
    <w:rsid w:val="29C74A0E"/>
    <w:rsid w:val="2A1E3431"/>
    <w:rsid w:val="2A28792F"/>
    <w:rsid w:val="2A5C2E7E"/>
    <w:rsid w:val="2AC45EB1"/>
    <w:rsid w:val="2B044B89"/>
    <w:rsid w:val="2B174D70"/>
    <w:rsid w:val="2B3E2541"/>
    <w:rsid w:val="2B49215A"/>
    <w:rsid w:val="2BCC5D13"/>
    <w:rsid w:val="2BDE08FA"/>
    <w:rsid w:val="2BEB7CFF"/>
    <w:rsid w:val="2BF90944"/>
    <w:rsid w:val="2C586EAF"/>
    <w:rsid w:val="2C8F7376"/>
    <w:rsid w:val="2CEC4612"/>
    <w:rsid w:val="2CFC54EE"/>
    <w:rsid w:val="2D4B773E"/>
    <w:rsid w:val="2D673047"/>
    <w:rsid w:val="2D9E0246"/>
    <w:rsid w:val="2DC35A6B"/>
    <w:rsid w:val="2E050709"/>
    <w:rsid w:val="2E201624"/>
    <w:rsid w:val="2E497F59"/>
    <w:rsid w:val="2E8D0249"/>
    <w:rsid w:val="2EE92E1E"/>
    <w:rsid w:val="2EF42911"/>
    <w:rsid w:val="2EFB7B35"/>
    <w:rsid w:val="2F1331C7"/>
    <w:rsid w:val="2F173A57"/>
    <w:rsid w:val="2F2720ED"/>
    <w:rsid w:val="2F2D5666"/>
    <w:rsid w:val="2F357E25"/>
    <w:rsid w:val="2F395F54"/>
    <w:rsid w:val="2F870A85"/>
    <w:rsid w:val="2F9072FF"/>
    <w:rsid w:val="2FA16C41"/>
    <w:rsid w:val="2FCC4D09"/>
    <w:rsid w:val="2FF16D8F"/>
    <w:rsid w:val="304D21A4"/>
    <w:rsid w:val="30AE768C"/>
    <w:rsid w:val="314E2AD7"/>
    <w:rsid w:val="317A19BB"/>
    <w:rsid w:val="317D18D2"/>
    <w:rsid w:val="31C23CED"/>
    <w:rsid w:val="3285327B"/>
    <w:rsid w:val="32BC6E5E"/>
    <w:rsid w:val="32C71AE0"/>
    <w:rsid w:val="32C748DC"/>
    <w:rsid w:val="32DA30EA"/>
    <w:rsid w:val="32E64609"/>
    <w:rsid w:val="332F28F5"/>
    <w:rsid w:val="33D3632F"/>
    <w:rsid w:val="33F56FEC"/>
    <w:rsid w:val="33FD76BE"/>
    <w:rsid w:val="34055461"/>
    <w:rsid w:val="344F417C"/>
    <w:rsid w:val="34530AE6"/>
    <w:rsid w:val="345343F5"/>
    <w:rsid w:val="34944088"/>
    <w:rsid w:val="35156241"/>
    <w:rsid w:val="351C180B"/>
    <w:rsid w:val="35396DA0"/>
    <w:rsid w:val="358322BE"/>
    <w:rsid w:val="35B35362"/>
    <w:rsid w:val="35D455C8"/>
    <w:rsid w:val="363D2660"/>
    <w:rsid w:val="365E6576"/>
    <w:rsid w:val="368B5773"/>
    <w:rsid w:val="36B850BA"/>
    <w:rsid w:val="36DD3DA6"/>
    <w:rsid w:val="36DF6D48"/>
    <w:rsid w:val="36E542A3"/>
    <w:rsid w:val="36EC5CED"/>
    <w:rsid w:val="37036833"/>
    <w:rsid w:val="372E5DD5"/>
    <w:rsid w:val="37705DD2"/>
    <w:rsid w:val="37846F04"/>
    <w:rsid w:val="380E11D9"/>
    <w:rsid w:val="38231C25"/>
    <w:rsid w:val="38307E3A"/>
    <w:rsid w:val="38754373"/>
    <w:rsid w:val="38B12F93"/>
    <w:rsid w:val="38D95E52"/>
    <w:rsid w:val="390C3312"/>
    <w:rsid w:val="391A4DE7"/>
    <w:rsid w:val="392845DF"/>
    <w:rsid w:val="39384075"/>
    <w:rsid w:val="39502D7A"/>
    <w:rsid w:val="39905C5B"/>
    <w:rsid w:val="39905CBA"/>
    <w:rsid w:val="39C93C16"/>
    <w:rsid w:val="39ED0AA1"/>
    <w:rsid w:val="3A002E9A"/>
    <w:rsid w:val="3A3C25D7"/>
    <w:rsid w:val="3A5D7DF1"/>
    <w:rsid w:val="3A696106"/>
    <w:rsid w:val="3A771E7C"/>
    <w:rsid w:val="3AAB09E4"/>
    <w:rsid w:val="3AC01B09"/>
    <w:rsid w:val="3ACA26EC"/>
    <w:rsid w:val="3AD06B53"/>
    <w:rsid w:val="3AEE58E1"/>
    <w:rsid w:val="3B4603B4"/>
    <w:rsid w:val="3B480A98"/>
    <w:rsid w:val="3BB64A67"/>
    <w:rsid w:val="3BD75AD6"/>
    <w:rsid w:val="3C624388"/>
    <w:rsid w:val="3CA40A90"/>
    <w:rsid w:val="3CAC79CA"/>
    <w:rsid w:val="3CC36161"/>
    <w:rsid w:val="3D0B7084"/>
    <w:rsid w:val="3D532A73"/>
    <w:rsid w:val="3D663392"/>
    <w:rsid w:val="3DA610DF"/>
    <w:rsid w:val="3DF64736"/>
    <w:rsid w:val="3DF95BD7"/>
    <w:rsid w:val="3E974885"/>
    <w:rsid w:val="3EBC53F6"/>
    <w:rsid w:val="3EBE60F2"/>
    <w:rsid w:val="3F0E7F6E"/>
    <w:rsid w:val="3F0F4BB9"/>
    <w:rsid w:val="3F75273C"/>
    <w:rsid w:val="3F9B1B4A"/>
    <w:rsid w:val="3FBB54A1"/>
    <w:rsid w:val="3FEC6FA3"/>
    <w:rsid w:val="404D6193"/>
    <w:rsid w:val="409669F0"/>
    <w:rsid w:val="40D10A84"/>
    <w:rsid w:val="41430D6E"/>
    <w:rsid w:val="415E0D5B"/>
    <w:rsid w:val="418B32B2"/>
    <w:rsid w:val="41BC1DA2"/>
    <w:rsid w:val="4228754F"/>
    <w:rsid w:val="422F39F0"/>
    <w:rsid w:val="42422076"/>
    <w:rsid w:val="4243163F"/>
    <w:rsid w:val="42731BA1"/>
    <w:rsid w:val="427830BA"/>
    <w:rsid w:val="42951607"/>
    <w:rsid w:val="42BC64DD"/>
    <w:rsid w:val="42C07915"/>
    <w:rsid w:val="42E2174B"/>
    <w:rsid w:val="43230647"/>
    <w:rsid w:val="4344573C"/>
    <w:rsid w:val="43A65EF5"/>
    <w:rsid w:val="43AC7BAF"/>
    <w:rsid w:val="44036C30"/>
    <w:rsid w:val="443F7548"/>
    <w:rsid w:val="444A128E"/>
    <w:rsid w:val="449373B9"/>
    <w:rsid w:val="449D633E"/>
    <w:rsid w:val="44BF3ED1"/>
    <w:rsid w:val="44D142E8"/>
    <w:rsid w:val="44E13350"/>
    <w:rsid w:val="451D41E6"/>
    <w:rsid w:val="4544208D"/>
    <w:rsid w:val="4560102C"/>
    <w:rsid w:val="457A0001"/>
    <w:rsid w:val="45853E19"/>
    <w:rsid w:val="45B177E7"/>
    <w:rsid w:val="45EE11A5"/>
    <w:rsid w:val="45FE57B3"/>
    <w:rsid w:val="462C0FA0"/>
    <w:rsid w:val="46501022"/>
    <w:rsid w:val="46735870"/>
    <w:rsid w:val="46B22DAD"/>
    <w:rsid w:val="46FA03FD"/>
    <w:rsid w:val="47022C63"/>
    <w:rsid w:val="47286E32"/>
    <w:rsid w:val="478A72C4"/>
    <w:rsid w:val="479E32E6"/>
    <w:rsid w:val="479E5F68"/>
    <w:rsid w:val="47E47304"/>
    <w:rsid w:val="47E50A8C"/>
    <w:rsid w:val="47EC5626"/>
    <w:rsid w:val="48604A6A"/>
    <w:rsid w:val="487C76A0"/>
    <w:rsid w:val="48853388"/>
    <w:rsid w:val="48AD7B6E"/>
    <w:rsid w:val="48F573F1"/>
    <w:rsid w:val="48F649D4"/>
    <w:rsid w:val="4952155D"/>
    <w:rsid w:val="49594016"/>
    <w:rsid w:val="49B55B84"/>
    <w:rsid w:val="49D97353"/>
    <w:rsid w:val="4A642A4E"/>
    <w:rsid w:val="4A7A1AE5"/>
    <w:rsid w:val="4AA84682"/>
    <w:rsid w:val="4ADC51BE"/>
    <w:rsid w:val="4AEF6313"/>
    <w:rsid w:val="4AFC1194"/>
    <w:rsid w:val="4B142168"/>
    <w:rsid w:val="4B594A1B"/>
    <w:rsid w:val="4B6A7F2A"/>
    <w:rsid w:val="4B9932D0"/>
    <w:rsid w:val="4BB24E66"/>
    <w:rsid w:val="4BFF6423"/>
    <w:rsid w:val="4C2D43FD"/>
    <w:rsid w:val="4C3B016F"/>
    <w:rsid w:val="4C4731E4"/>
    <w:rsid w:val="4C4A3A0C"/>
    <w:rsid w:val="4C556956"/>
    <w:rsid w:val="4CE25F39"/>
    <w:rsid w:val="4CF0588C"/>
    <w:rsid w:val="4D8C1049"/>
    <w:rsid w:val="4DA0671F"/>
    <w:rsid w:val="4DA579D5"/>
    <w:rsid w:val="4DC25290"/>
    <w:rsid w:val="4DC54641"/>
    <w:rsid w:val="4DCA2D3A"/>
    <w:rsid w:val="4DD66800"/>
    <w:rsid w:val="4E1E5245"/>
    <w:rsid w:val="4E63397B"/>
    <w:rsid w:val="4E7835BC"/>
    <w:rsid w:val="4E873C75"/>
    <w:rsid w:val="4E913497"/>
    <w:rsid w:val="4EB122B3"/>
    <w:rsid w:val="4F1C1126"/>
    <w:rsid w:val="4F411A2B"/>
    <w:rsid w:val="4F9973F4"/>
    <w:rsid w:val="4FB516E1"/>
    <w:rsid w:val="4FD07B4B"/>
    <w:rsid w:val="4FFB6E83"/>
    <w:rsid w:val="50142A24"/>
    <w:rsid w:val="506523AF"/>
    <w:rsid w:val="50A53988"/>
    <w:rsid w:val="514432FE"/>
    <w:rsid w:val="51450D89"/>
    <w:rsid w:val="517158BA"/>
    <w:rsid w:val="51766916"/>
    <w:rsid w:val="51854E7F"/>
    <w:rsid w:val="51966F39"/>
    <w:rsid w:val="51DF29B8"/>
    <w:rsid w:val="51F46078"/>
    <w:rsid w:val="51FC53E0"/>
    <w:rsid w:val="5201325E"/>
    <w:rsid w:val="520443CA"/>
    <w:rsid w:val="520A725D"/>
    <w:rsid w:val="52744776"/>
    <w:rsid w:val="52831058"/>
    <w:rsid w:val="52844815"/>
    <w:rsid w:val="52C55C27"/>
    <w:rsid w:val="533F5425"/>
    <w:rsid w:val="53635E9D"/>
    <w:rsid w:val="538006EE"/>
    <w:rsid w:val="53CB4573"/>
    <w:rsid w:val="54023D29"/>
    <w:rsid w:val="5417754E"/>
    <w:rsid w:val="54184F96"/>
    <w:rsid w:val="54651740"/>
    <w:rsid w:val="54661A6D"/>
    <w:rsid w:val="547000E3"/>
    <w:rsid w:val="547E76AA"/>
    <w:rsid w:val="54D3458B"/>
    <w:rsid w:val="54DC6F76"/>
    <w:rsid w:val="54EC48EF"/>
    <w:rsid w:val="54F262B2"/>
    <w:rsid w:val="553A4A5A"/>
    <w:rsid w:val="553D6CBE"/>
    <w:rsid w:val="554E1A2E"/>
    <w:rsid w:val="55500544"/>
    <w:rsid w:val="5558603B"/>
    <w:rsid w:val="558A07AD"/>
    <w:rsid w:val="55C2011B"/>
    <w:rsid w:val="55D212DA"/>
    <w:rsid w:val="55DE2EAD"/>
    <w:rsid w:val="56055D7B"/>
    <w:rsid w:val="561C06B7"/>
    <w:rsid w:val="565B470A"/>
    <w:rsid w:val="566E1B98"/>
    <w:rsid w:val="56985ECA"/>
    <w:rsid w:val="569E48CE"/>
    <w:rsid w:val="56BB6F53"/>
    <w:rsid w:val="57794F86"/>
    <w:rsid w:val="57962DD5"/>
    <w:rsid w:val="579C5972"/>
    <w:rsid w:val="57DA2FF7"/>
    <w:rsid w:val="58210F70"/>
    <w:rsid w:val="588671C4"/>
    <w:rsid w:val="58B3757A"/>
    <w:rsid w:val="58BE4999"/>
    <w:rsid w:val="58CE4E5E"/>
    <w:rsid w:val="58D32786"/>
    <w:rsid w:val="592854BF"/>
    <w:rsid w:val="59474427"/>
    <w:rsid w:val="598E39A7"/>
    <w:rsid w:val="598E6E85"/>
    <w:rsid w:val="59AD1DB0"/>
    <w:rsid w:val="59CA67CF"/>
    <w:rsid w:val="5A131F6B"/>
    <w:rsid w:val="5A1F4157"/>
    <w:rsid w:val="5B1D1F89"/>
    <w:rsid w:val="5B365D93"/>
    <w:rsid w:val="5B380BC3"/>
    <w:rsid w:val="5B41331E"/>
    <w:rsid w:val="5B590846"/>
    <w:rsid w:val="5B726428"/>
    <w:rsid w:val="5B883509"/>
    <w:rsid w:val="5B97670E"/>
    <w:rsid w:val="5C0C4A07"/>
    <w:rsid w:val="5C3E03D2"/>
    <w:rsid w:val="5C5825AA"/>
    <w:rsid w:val="5C9639C4"/>
    <w:rsid w:val="5CB127D2"/>
    <w:rsid w:val="5D7609D1"/>
    <w:rsid w:val="5DA913A6"/>
    <w:rsid w:val="5E215AF5"/>
    <w:rsid w:val="5E85058B"/>
    <w:rsid w:val="5EC877BE"/>
    <w:rsid w:val="5EE35E56"/>
    <w:rsid w:val="5F0F6B05"/>
    <w:rsid w:val="5F6E36A0"/>
    <w:rsid w:val="5FC15F09"/>
    <w:rsid w:val="607A593F"/>
    <w:rsid w:val="607E760A"/>
    <w:rsid w:val="60965ADD"/>
    <w:rsid w:val="60BD0C0D"/>
    <w:rsid w:val="60CF4CAA"/>
    <w:rsid w:val="61226E78"/>
    <w:rsid w:val="612A36F4"/>
    <w:rsid w:val="61AC4E9D"/>
    <w:rsid w:val="61AE0F73"/>
    <w:rsid w:val="61BB1034"/>
    <w:rsid w:val="61C72E6E"/>
    <w:rsid w:val="625B56F8"/>
    <w:rsid w:val="62FA19FB"/>
    <w:rsid w:val="63234585"/>
    <w:rsid w:val="63592F9D"/>
    <w:rsid w:val="63A7359E"/>
    <w:rsid w:val="63CF1C92"/>
    <w:rsid w:val="6409130A"/>
    <w:rsid w:val="641A1533"/>
    <w:rsid w:val="642A40AF"/>
    <w:rsid w:val="64737DE5"/>
    <w:rsid w:val="64782FAA"/>
    <w:rsid w:val="64C526A6"/>
    <w:rsid w:val="65242C85"/>
    <w:rsid w:val="653E2C47"/>
    <w:rsid w:val="65713B58"/>
    <w:rsid w:val="65773FB0"/>
    <w:rsid w:val="65A34952"/>
    <w:rsid w:val="65AF4E0B"/>
    <w:rsid w:val="65BF71D6"/>
    <w:rsid w:val="65E650F7"/>
    <w:rsid w:val="672F24E9"/>
    <w:rsid w:val="674B49C6"/>
    <w:rsid w:val="681A5F3B"/>
    <w:rsid w:val="683602AE"/>
    <w:rsid w:val="683E4061"/>
    <w:rsid w:val="685A699C"/>
    <w:rsid w:val="6878474F"/>
    <w:rsid w:val="68882BCB"/>
    <w:rsid w:val="68B0186F"/>
    <w:rsid w:val="690C2762"/>
    <w:rsid w:val="691C5141"/>
    <w:rsid w:val="691E574C"/>
    <w:rsid w:val="69501373"/>
    <w:rsid w:val="69C63F07"/>
    <w:rsid w:val="6A763F50"/>
    <w:rsid w:val="6A8E2BDB"/>
    <w:rsid w:val="6AB378B4"/>
    <w:rsid w:val="6AB54053"/>
    <w:rsid w:val="6B06622D"/>
    <w:rsid w:val="6B61082D"/>
    <w:rsid w:val="6B670800"/>
    <w:rsid w:val="6BBB08DF"/>
    <w:rsid w:val="6BE801E7"/>
    <w:rsid w:val="6C08539F"/>
    <w:rsid w:val="6C655BF8"/>
    <w:rsid w:val="6C9F465B"/>
    <w:rsid w:val="6CA166B8"/>
    <w:rsid w:val="6CA743CC"/>
    <w:rsid w:val="6CBF1508"/>
    <w:rsid w:val="6CE27ACD"/>
    <w:rsid w:val="6D6B6E4D"/>
    <w:rsid w:val="6D9305DB"/>
    <w:rsid w:val="6DC37052"/>
    <w:rsid w:val="6DE94F39"/>
    <w:rsid w:val="6DF243DE"/>
    <w:rsid w:val="6E056DE4"/>
    <w:rsid w:val="6E2F66A7"/>
    <w:rsid w:val="6E543DB3"/>
    <w:rsid w:val="6E683453"/>
    <w:rsid w:val="6E862D42"/>
    <w:rsid w:val="6E937CD8"/>
    <w:rsid w:val="6F13037E"/>
    <w:rsid w:val="6F213CF7"/>
    <w:rsid w:val="6F213FA3"/>
    <w:rsid w:val="6F3D3ED9"/>
    <w:rsid w:val="6F414742"/>
    <w:rsid w:val="6F422395"/>
    <w:rsid w:val="6F5E5CAB"/>
    <w:rsid w:val="6F777F27"/>
    <w:rsid w:val="6FB23DD0"/>
    <w:rsid w:val="6FC113A3"/>
    <w:rsid w:val="6FCB39B7"/>
    <w:rsid w:val="704242AE"/>
    <w:rsid w:val="707D5EC5"/>
    <w:rsid w:val="709256F6"/>
    <w:rsid w:val="70C90DC0"/>
    <w:rsid w:val="70CE529A"/>
    <w:rsid w:val="70DA70E5"/>
    <w:rsid w:val="715776FB"/>
    <w:rsid w:val="71D30F7C"/>
    <w:rsid w:val="723C52DD"/>
    <w:rsid w:val="72DE59F0"/>
    <w:rsid w:val="73295315"/>
    <w:rsid w:val="732A2376"/>
    <w:rsid w:val="73A47D96"/>
    <w:rsid w:val="73D20A9B"/>
    <w:rsid w:val="745650ED"/>
    <w:rsid w:val="7460295E"/>
    <w:rsid w:val="74673DE0"/>
    <w:rsid w:val="74804C04"/>
    <w:rsid w:val="74C10AC5"/>
    <w:rsid w:val="74F51117"/>
    <w:rsid w:val="74FA159B"/>
    <w:rsid w:val="75131A0E"/>
    <w:rsid w:val="75B15EDF"/>
    <w:rsid w:val="75D81FEC"/>
    <w:rsid w:val="760261F5"/>
    <w:rsid w:val="763B11D1"/>
    <w:rsid w:val="76BE257C"/>
    <w:rsid w:val="76E5305A"/>
    <w:rsid w:val="77326D7C"/>
    <w:rsid w:val="777651F6"/>
    <w:rsid w:val="779023EF"/>
    <w:rsid w:val="77A75DE5"/>
    <w:rsid w:val="77E358EB"/>
    <w:rsid w:val="77E612B6"/>
    <w:rsid w:val="77F05A71"/>
    <w:rsid w:val="78273EF6"/>
    <w:rsid w:val="78B10FE2"/>
    <w:rsid w:val="78BE77DD"/>
    <w:rsid w:val="7919753F"/>
    <w:rsid w:val="791A7C3D"/>
    <w:rsid w:val="79353340"/>
    <w:rsid w:val="795A70E9"/>
    <w:rsid w:val="79745C4F"/>
    <w:rsid w:val="7A1B49B2"/>
    <w:rsid w:val="7A357C19"/>
    <w:rsid w:val="7A600926"/>
    <w:rsid w:val="7AA11E4E"/>
    <w:rsid w:val="7ADD0FC9"/>
    <w:rsid w:val="7AF422F1"/>
    <w:rsid w:val="7AFE373A"/>
    <w:rsid w:val="7B4E2788"/>
    <w:rsid w:val="7B70526D"/>
    <w:rsid w:val="7B7F10DE"/>
    <w:rsid w:val="7BA81DE3"/>
    <w:rsid w:val="7BC94E48"/>
    <w:rsid w:val="7BD36A76"/>
    <w:rsid w:val="7BD9545B"/>
    <w:rsid w:val="7C375405"/>
    <w:rsid w:val="7C7042BA"/>
    <w:rsid w:val="7C7F7A0B"/>
    <w:rsid w:val="7C850882"/>
    <w:rsid w:val="7C9E6B19"/>
    <w:rsid w:val="7CD07F23"/>
    <w:rsid w:val="7D53422E"/>
    <w:rsid w:val="7D5D66EF"/>
    <w:rsid w:val="7D7368E0"/>
    <w:rsid w:val="7D8F6250"/>
    <w:rsid w:val="7D987E04"/>
    <w:rsid w:val="7DDB0212"/>
    <w:rsid w:val="7E1B491C"/>
    <w:rsid w:val="7E295D76"/>
    <w:rsid w:val="7E394FEA"/>
    <w:rsid w:val="7E835567"/>
    <w:rsid w:val="7EA753CB"/>
    <w:rsid w:val="7EC7708F"/>
    <w:rsid w:val="7F9A610B"/>
    <w:rsid w:val="7FBC1C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30"/>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3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link w:val="32"/>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33"/>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link w:val="34"/>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5"/>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36"/>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37"/>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3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3">
    <w:name w:val="Default Paragraph Font"/>
    <w:semiHidden/>
    <w:uiPriority w:val="0"/>
  </w:style>
  <w:style w:type="table" w:default="1" w:styleId="21">
    <w:name w:val="Normal Table"/>
    <w:semiHidden/>
    <w:uiPriority w:val="0"/>
    <w:tblPr>
      <w:tblStyle w:val="21"/>
      <w:tblCellMar>
        <w:top w:w="0" w:type="dxa"/>
        <w:left w:w="108" w:type="dxa"/>
        <w:bottom w:w="0" w:type="dxa"/>
        <w:right w:w="108" w:type="dxa"/>
      </w:tblCellMar>
    </w:tblPr>
  </w:style>
  <w:style w:type="paragraph" w:styleId="11">
    <w:name w:val="annotation text"/>
    <w:basedOn w:val="1"/>
    <w:link w:val="39"/>
    <w:uiPriority w:val="0"/>
    <w:pPr>
      <w:jc w:val="left"/>
    </w:pPr>
  </w:style>
  <w:style w:type="paragraph" w:styleId="12">
    <w:name w:val="Body Text"/>
    <w:basedOn w:val="1"/>
    <w:next w:val="13"/>
    <w:qFormat/>
    <w:uiPriority w:val="0"/>
    <w:pPr>
      <w:spacing w:after="120"/>
    </w:pPr>
  </w:style>
  <w:style w:type="paragraph" w:customStyle="1" w:styleId="13">
    <w:name w:val="正文首行缩进1"/>
    <w:basedOn w:val="1"/>
    <w:qFormat/>
    <w:uiPriority w:val="0"/>
    <w:pPr>
      <w:spacing w:after="120"/>
      <w:ind w:firstLine="420" w:firstLineChars="100"/>
    </w:pPr>
    <w:rPr>
      <w:rFonts w:ascii="Times New Roman" w:hAnsi="Times New Roman"/>
    </w:rPr>
  </w:style>
  <w:style w:type="paragraph" w:styleId="14">
    <w:name w:val="Date"/>
    <w:basedOn w:val="1"/>
    <w:next w:val="1"/>
    <w:uiPriority w:val="0"/>
    <w:pPr>
      <w:ind w:left="100" w:leftChars="2500"/>
    </w:pPr>
  </w:style>
  <w:style w:type="paragraph" w:styleId="15">
    <w:name w:val="Balloon Text"/>
    <w:basedOn w:val="1"/>
    <w:link w:val="40"/>
    <w:uiPriority w:val="0"/>
    <w:rPr>
      <w:sz w:val="18"/>
      <w:szCs w:val="18"/>
    </w:rPr>
  </w:style>
  <w:style w:type="paragraph" w:styleId="16">
    <w:name w:val="footer"/>
    <w:basedOn w:val="1"/>
    <w:uiPriority w:val="0"/>
    <w:pPr>
      <w:tabs>
        <w:tab w:val="center" w:pos="4153"/>
        <w:tab w:val="right" w:pos="8306"/>
      </w:tabs>
      <w:snapToGrid w:val="0"/>
      <w:jc w:val="left"/>
    </w:pPr>
    <w:rPr>
      <w:sz w:val="18"/>
      <w:szCs w:val="18"/>
    </w:rPr>
  </w:style>
  <w:style w:type="paragraph" w:styleId="1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8">
    <w:name w:val="Normal (Web)"/>
    <w:basedOn w:val="1"/>
    <w:uiPriority w:val="0"/>
    <w:pPr>
      <w:widowControl/>
      <w:spacing w:before="100" w:beforeAutospacing="1" w:after="100" w:afterAutospacing="1"/>
      <w:jc w:val="left"/>
    </w:pPr>
    <w:rPr>
      <w:rFonts w:ascii="宋体" w:hAnsi="宋体" w:cs="宋体"/>
      <w:kern w:val="0"/>
      <w:sz w:val="24"/>
    </w:rPr>
  </w:style>
  <w:style w:type="paragraph" w:styleId="19">
    <w:name w:val="annotation subject"/>
    <w:basedOn w:val="11"/>
    <w:next w:val="11"/>
    <w:link w:val="41"/>
    <w:uiPriority w:val="0"/>
    <w:rPr>
      <w:b/>
      <w:bCs/>
    </w:rPr>
  </w:style>
  <w:style w:type="paragraph" w:styleId="20">
    <w:name w:val="Body Text First Indent"/>
    <w:basedOn w:val="12"/>
    <w:qFormat/>
    <w:uiPriority w:val="0"/>
    <w:pPr>
      <w:spacing w:after="0" w:line="360" w:lineRule="auto"/>
      <w:ind w:firstLine="420" w:firstLineChars="100"/>
    </w:pPr>
    <w:rPr>
      <w:rFonts w:ascii="Times New Roman" w:hAnsi="Times New Roman"/>
      <w:sz w:val="28"/>
      <w:szCs w:val="20"/>
    </w:rPr>
  </w:style>
  <w:style w:type="table" w:styleId="22">
    <w:name w:val="Table Grid"/>
    <w:basedOn w:val="21"/>
    <w:uiPriority w:val="0"/>
    <w:pPr>
      <w:widowControl w:val="0"/>
      <w:jc w:val="both"/>
    </w:pPr>
    <w:rPr>
      <w:rFonts w:ascii="Calibri" w:hAnsi="Calibri"/>
      <w:lang w:val="en-US" w:eastAsia="zh-CN" w:bidi="ar-SA"/>
    </w:r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uiPriority w:val="0"/>
  </w:style>
  <w:style w:type="character" w:styleId="26">
    <w:name w:val="FollowedHyperlink"/>
    <w:basedOn w:val="23"/>
    <w:uiPriority w:val="0"/>
    <w:rPr>
      <w:color w:val="000000"/>
      <w:u w:val="none"/>
    </w:rPr>
  </w:style>
  <w:style w:type="character" w:styleId="27">
    <w:name w:val="Hyperlink"/>
    <w:uiPriority w:val="0"/>
    <w:rPr>
      <w:color w:val="0563C1"/>
      <w:u w:val="single"/>
    </w:rPr>
  </w:style>
  <w:style w:type="character" w:styleId="28">
    <w:name w:val="HTML Code"/>
    <w:uiPriority w:val="0"/>
    <w:rPr>
      <w:rFonts w:ascii="宋体" w:hAnsi="宋体" w:eastAsia="宋体" w:cs="宋体"/>
      <w:sz w:val="24"/>
      <w:szCs w:val="24"/>
    </w:rPr>
  </w:style>
  <w:style w:type="character" w:styleId="29">
    <w:name w:val="annotation reference"/>
    <w:uiPriority w:val="0"/>
    <w:rPr>
      <w:sz w:val="21"/>
      <w:szCs w:val="21"/>
    </w:rPr>
  </w:style>
  <w:style w:type="character" w:customStyle="1" w:styleId="30">
    <w:name w:val="标题 1 Char"/>
    <w:link w:val="2"/>
    <w:uiPriority w:val="0"/>
    <w:rPr>
      <w:rFonts w:eastAsia="宋体"/>
      <w:b/>
      <w:bCs/>
      <w:kern w:val="44"/>
      <w:sz w:val="44"/>
      <w:szCs w:val="44"/>
      <w:lang w:val="en-US" w:eastAsia="zh-CN" w:bidi="ar-SA"/>
    </w:rPr>
  </w:style>
  <w:style w:type="character" w:customStyle="1" w:styleId="31">
    <w:name w:val="标题 2 Char"/>
    <w:link w:val="3"/>
    <w:uiPriority w:val="0"/>
    <w:rPr>
      <w:rFonts w:ascii="Arial" w:hAnsi="Arial" w:eastAsia="黑体"/>
      <w:b/>
      <w:bCs/>
      <w:kern w:val="2"/>
      <w:sz w:val="32"/>
      <w:szCs w:val="32"/>
      <w:lang w:val="en-US" w:eastAsia="zh-CN" w:bidi="ar-SA"/>
    </w:rPr>
  </w:style>
  <w:style w:type="character" w:customStyle="1" w:styleId="32">
    <w:name w:val="标题 3 Char"/>
    <w:link w:val="4"/>
    <w:uiPriority w:val="0"/>
    <w:rPr>
      <w:rFonts w:eastAsia="宋体"/>
      <w:b/>
      <w:bCs/>
      <w:kern w:val="2"/>
      <w:sz w:val="32"/>
      <w:szCs w:val="32"/>
      <w:lang w:val="en-US" w:eastAsia="zh-CN" w:bidi="ar-SA"/>
    </w:rPr>
  </w:style>
  <w:style w:type="character" w:customStyle="1" w:styleId="33">
    <w:name w:val="标题 4 Char"/>
    <w:link w:val="5"/>
    <w:uiPriority w:val="0"/>
    <w:rPr>
      <w:rFonts w:ascii="Arial" w:hAnsi="Arial" w:eastAsia="黑体"/>
      <w:b/>
      <w:bCs/>
      <w:kern w:val="2"/>
      <w:sz w:val="28"/>
      <w:szCs w:val="28"/>
      <w:lang w:val="en-US" w:eastAsia="zh-CN" w:bidi="ar-SA"/>
    </w:rPr>
  </w:style>
  <w:style w:type="character" w:customStyle="1" w:styleId="34">
    <w:name w:val="标题 5 Char"/>
    <w:link w:val="6"/>
    <w:uiPriority w:val="0"/>
    <w:rPr>
      <w:rFonts w:eastAsia="宋体"/>
      <w:b/>
      <w:bCs/>
      <w:kern w:val="2"/>
      <w:sz w:val="28"/>
      <w:szCs w:val="28"/>
      <w:lang w:val="en-US" w:eastAsia="zh-CN" w:bidi="ar-SA"/>
    </w:rPr>
  </w:style>
  <w:style w:type="character" w:customStyle="1" w:styleId="35">
    <w:name w:val="标题 6 Char"/>
    <w:link w:val="7"/>
    <w:uiPriority w:val="0"/>
    <w:rPr>
      <w:rFonts w:ascii="Arial" w:hAnsi="Arial" w:eastAsia="黑体"/>
      <w:b/>
      <w:bCs/>
      <w:kern w:val="2"/>
      <w:sz w:val="24"/>
      <w:szCs w:val="24"/>
      <w:lang w:val="en-US" w:eastAsia="zh-CN" w:bidi="ar-SA"/>
    </w:rPr>
  </w:style>
  <w:style w:type="character" w:customStyle="1" w:styleId="36">
    <w:name w:val="标题 7 Char"/>
    <w:link w:val="8"/>
    <w:uiPriority w:val="0"/>
    <w:rPr>
      <w:rFonts w:eastAsia="宋体"/>
      <w:b/>
      <w:bCs/>
      <w:kern w:val="2"/>
      <w:sz w:val="24"/>
      <w:szCs w:val="24"/>
      <w:lang w:val="en-US" w:eastAsia="zh-CN" w:bidi="ar-SA"/>
    </w:rPr>
  </w:style>
  <w:style w:type="character" w:customStyle="1" w:styleId="37">
    <w:name w:val="标题 8 Char"/>
    <w:link w:val="9"/>
    <w:uiPriority w:val="0"/>
    <w:rPr>
      <w:rFonts w:ascii="Arial" w:hAnsi="Arial" w:eastAsia="黑体"/>
      <w:kern w:val="2"/>
      <w:sz w:val="24"/>
      <w:szCs w:val="24"/>
      <w:lang w:val="en-US" w:eastAsia="zh-CN" w:bidi="ar-SA"/>
    </w:rPr>
  </w:style>
  <w:style w:type="character" w:customStyle="1" w:styleId="38">
    <w:name w:val="标题 9 Char"/>
    <w:link w:val="10"/>
    <w:uiPriority w:val="0"/>
    <w:rPr>
      <w:rFonts w:ascii="Arial" w:hAnsi="Arial" w:eastAsia="黑体"/>
      <w:kern w:val="2"/>
      <w:sz w:val="21"/>
      <w:szCs w:val="21"/>
      <w:lang w:val="en-US" w:eastAsia="zh-CN" w:bidi="ar-SA"/>
    </w:rPr>
  </w:style>
  <w:style w:type="character" w:customStyle="1" w:styleId="39">
    <w:name w:val="批注文字 Char"/>
    <w:link w:val="11"/>
    <w:uiPriority w:val="0"/>
    <w:rPr>
      <w:rFonts w:eastAsia="宋体"/>
      <w:kern w:val="2"/>
      <w:sz w:val="21"/>
      <w:szCs w:val="24"/>
      <w:lang w:val="en-US" w:eastAsia="zh-CN" w:bidi="ar-SA"/>
    </w:rPr>
  </w:style>
  <w:style w:type="character" w:customStyle="1" w:styleId="40">
    <w:name w:val="批注框文本 Char"/>
    <w:link w:val="15"/>
    <w:uiPriority w:val="0"/>
    <w:rPr>
      <w:rFonts w:eastAsia="宋体"/>
      <w:kern w:val="2"/>
      <w:sz w:val="18"/>
      <w:szCs w:val="18"/>
      <w:lang w:val="en-US" w:eastAsia="zh-CN" w:bidi="ar-SA"/>
    </w:rPr>
  </w:style>
  <w:style w:type="character" w:customStyle="1" w:styleId="41">
    <w:name w:val="批注主题 Char"/>
    <w:link w:val="19"/>
    <w:uiPriority w:val="0"/>
    <w:rPr>
      <w:rFonts w:eastAsia="宋体"/>
      <w:b/>
      <w:bCs/>
      <w:kern w:val="2"/>
      <w:sz w:val="21"/>
      <w:szCs w:val="24"/>
      <w:lang w:val="en-US" w:eastAsia="zh-CN" w:bidi="ar-SA"/>
    </w:rPr>
  </w:style>
  <w:style w:type="character" w:customStyle="1" w:styleId="42">
    <w:name w:val="font71"/>
    <w:basedOn w:val="23"/>
    <w:uiPriority w:val="0"/>
    <w:rPr>
      <w:rFonts w:hint="eastAsia" w:ascii="宋体" w:hAnsi="宋体" w:eastAsia="宋体" w:cs="宋体"/>
      <w:color w:val="000000"/>
      <w:sz w:val="18"/>
      <w:szCs w:val="18"/>
      <w:u w:val="none"/>
    </w:rPr>
  </w:style>
  <w:style w:type="character" w:customStyle="1" w:styleId="43">
    <w:name w:val="font12"/>
    <w:basedOn w:val="23"/>
    <w:uiPriority w:val="0"/>
    <w:rPr>
      <w:rFonts w:hint="default" w:ascii="Times New Roman" w:hAnsi="Times New Roman" w:cs="Times New Roman"/>
      <w:color w:val="000000"/>
      <w:sz w:val="18"/>
      <w:szCs w:val="18"/>
      <w:u w:val="none"/>
    </w:rPr>
  </w:style>
  <w:style w:type="character" w:customStyle="1" w:styleId="44">
    <w:name w:val="apple-converted-space"/>
    <w:uiPriority w:val="0"/>
    <w:rPr>
      <w:rFonts w:cs="Times New Roman"/>
    </w:rPr>
  </w:style>
  <w:style w:type="character" w:customStyle="1" w:styleId="45">
    <w:name w:val="wx-space"/>
    <w:basedOn w:val="23"/>
    <w:uiPriority w:val="0"/>
  </w:style>
  <w:style w:type="character" w:customStyle="1" w:styleId="46">
    <w:name w:val="wx-space1"/>
    <w:basedOn w:val="23"/>
    <w:uiPriority w:val="0"/>
  </w:style>
  <w:style w:type="character" w:customStyle="1" w:styleId="47">
    <w:name w:val="font41"/>
    <w:basedOn w:val="23"/>
    <w:uiPriority w:val="0"/>
    <w:rPr>
      <w:rFonts w:hint="default" w:ascii="Times New Roman" w:hAnsi="Times New Roman" w:cs="Times New Roman"/>
      <w:color w:val="000000"/>
      <w:sz w:val="20"/>
      <w:szCs w:val="20"/>
      <w:u w:val="none"/>
    </w:rPr>
  </w:style>
  <w:style w:type="character" w:customStyle="1" w:styleId="48">
    <w:name w:val="font31"/>
    <w:basedOn w:val="23"/>
    <w:uiPriority w:val="0"/>
    <w:rPr>
      <w:rFonts w:hint="default" w:ascii="Microsoft Himalaya" w:hAnsi="Microsoft Himalaya" w:eastAsia="Microsoft Himalaya" w:cs="Microsoft Himalaya"/>
      <w:color w:val="000000"/>
      <w:sz w:val="20"/>
      <w:szCs w:val="20"/>
      <w:u w:val="none"/>
    </w:rPr>
  </w:style>
  <w:style w:type="character" w:customStyle="1" w:styleId="49">
    <w:name w:val="font101"/>
    <w:basedOn w:val="23"/>
    <w:uiPriority w:val="0"/>
    <w:rPr>
      <w:rFonts w:hint="eastAsia" w:ascii="宋体" w:hAnsi="宋体" w:eastAsia="宋体" w:cs="宋体"/>
      <w:color w:val="000000"/>
      <w:sz w:val="16"/>
      <w:szCs w:val="16"/>
      <w:u w:val="none"/>
    </w:rPr>
  </w:style>
  <w:style w:type="character" w:customStyle="1" w:styleId="50">
    <w:name w:val="font01"/>
    <w:basedOn w:val="23"/>
    <w:uiPriority w:val="0"/>
    <w:rPr>
      <w:rFonts w:hint="default" w:ascii="Microsoft Himalaya" w:hAnsi="Microsoft Himalaya" w:eastAsia="Microsoft Himalaya" w:cs="Microsoft Himalaya"/>
      <w:color w:val="000000"/>
      <w:sz w:val="20"/>
      <w:szCs w:val="20"/>
      <w:u w:val="none"/>
    </w:rPr>
  </w:style>
  <w:style w:type="character" w:customStyle="1" w:styleId="51">
    <w:name w:val="font161"/>
    <w:basedOn w:val="23"/>
    <w:uiPriority w:val="0"/>
    <w:rPr>
      <w:rFonts w:hint="default" w:ascii="Times New Roman" w:hAnsi="Times New Roman" w:cs="Times New Roman"/>
      <w:color w:val="000000"/>
      <w:sz w:val="16"/>
      <w:szCs w:val="16"/>
      <w:u w:val="none"/>
    </w:rPr>
  </w:style>
  <w:style w:type="character" w:customStyle="1" w:styleId="52">
    <w:name w:val="font211"/>
    <w:basedOn w:val="23"/>
    <w:uiPriority w:val="0"/>
    <w:rPr>
      <w:rFonts w:hint="default" w:ascii="Times New Roman" w:hAnsi="Times New Roman" w:cs="Times New Roman"/>
      <w:color w:val="000000"/>
      <w:sz w:val="16"/>
      <w:szCs w:val="16"/>
      <w:u w:val="none"/>
    </w:rPr>
  </w:style>
  <w:style w:type="character" w:customStyle="1" w:styleId="53">
    <w:name w:val="font151"/>
    <w:basedOn w:val="23"/>
    <w:uiPriority w:val="0"/>
    <w:rPr>
      <w:rFonts w:hint="default" w:ascii="Times New Roman" w:hAnsi="Times New Roman" w:cs="Times New Roman"/>
      <w:color w:val="000000"/>
      <w:sz w:val="16"/>
      <w:szCs w:val="16"/>
      <w:u w:val="none"/>
    </w:rPr>
  </w:style>
  <w:style w:type="character" w:customStyle="1" w:styleId="54">
    <w:name w:val="font121"/>
    <w:basedOn w:val="23"/>
    <w:uiPriority w:val="0"/>
    <w:rPr>
      <w:rFonts w:ascii="华文仿宋" w:hAnsi="华文仿宋" w:eastAsia="华文仿宋" w:cs="华文仿宋"/>
      <w:color w:val="000000"/>
      <w:sz w:val="20"/>
      <w:szCs w:val="20"/>
      <w:u w:val="none"/>
    </w:rPr>
  </w:style>
  <w:style w:type="character" w:customStyle="1" w:styleId="55">
    <w:name w:val="font81"/>
    <w:basedOn w:val="23"/>
    <w:uiPriority w:val="0"/>
    <w:rPr>
      <w:rFonts w:hint="default" w:ascii="Times New Roman" w:hAnsi="Times New Roman" w:cs="Times New Roman"/>
      <w:color w:val="000000"/>
      <w:sz w:val="18"/>
      <w:szCs w:val="18"/>
      <w:u w:val="none"/>
    </w:rPr>
  </w:style>
  <w:style w:type="character" w:customStyle="1" w:styleId="56">
    <w:name w:val="font191"/>
    <w:basedOn w:val="23"/>
    <w:uiPriority w:val="0"/>
    <w:rPr>
      <w:rFonts w:hint="default" w:ascii="Times New Roman" w:hAnsi="Times New Roman" w:cs="Times New Roman"/>
      <w:color w:val="000000"/>
      <w:sz w:val="16"/>
      <w:szCs w:val="16"/>
      <w:u w:val="none"/>
    </w:rPr>
  </w:style>
  <w:style w:type="character" w:customStyle="1" w:styleId="57">
    <w:name w:val="font141"/>
    <w:basedOn w:val="23"/>
    <w:uiPriority w:val="0"/>
    <w:rPr>
      <w:rFonts w:hint="eastAsia" w:ascii="宋体" w:hAnsi="宋体" w:eastAsia="宋体" w:cs="宋体"/>
      <w:b/>
      <w:color w:val="000000"/>
      <w:sz w:val="18"/>
      <w:szCs w:val="18"/>
      <w:u w:val="none"/>
    </w:rPr>
  </w:style>
  <w:style w:type="character" w:customStyle="1" w:styleId="58">
    <w:name w:val="font21"/>
    <w:basedOn w:val="23"/>
    <w:uiPriority w:val="0"/>
    <w:rPr>
      <w:rFonts w:hint="eastAsia" w:ascii="宋体" w:hAnsi="宋体" w:eastAsia="宋体" w:cs="宋体"/>
      <w:b/>
      <w:color w:val="000000"/>
      <w:sz w:val="32"/>
      <w:szCs w:val="32"/>
      <w:u w:val="none"/>
    </w:rPr>
  </w:style>
  <w:style w:type="character" w:customStyle="1" w:styleId="59">
    <w:name w:val="font181"/>
    <w:basedOn w:val="23"/>
    <w:uiPriority w:val="0"/>
    <w:rPr>
      <w:rFonts w:hint="eastAsia" w:ascii="宋体" w:hAnsi="宋体" w:eastAsia="宋体" w:cs="宋体"/>
      <w:color w:val="000000"/>
      <w:sz w:val="18"/>
      <w:szCs w:val="18"/>
      <w:u w:val="none"/>
    </w:rPr>
  </w:style>
  <w:style w:type="character" w:customStyle="1" w:styleId="60">
    <w:name w:val="font241"/>
    <w:basedOn w:val="23"/>
    <w:uiPriority w:val="0"/>
    <w:rPr>
      <w:rFonts w:ascii="华文仿宋" w:hAnsi="华文仿宋" w:eastAsia="华文仿宋" w:cs="华文仿宋"/>
      <w:color w:val="000000"/>
      <w:sz w:val="20"/>
      <w:szCs w:val="20"/>
      <w:u w:val="none"/>
    </w:rPr>
  </w:style>
  <w:style w:type="character" w:customStyle="1" w:styleId="61">
    <w:name w:val="font51"/>
    <w:basedOn w:val="23"/>
    <w:uiPriority w:val="0"/>
    <w:rPr>
      <w:rFonts w:hint="default" w:ascii="Times New Roman" w:hAnsi="Times New Roman" w:cs="Times New Roman"/>
      <w:b/>
      <w:color w:val="000000"/>
      <w:sz w:val="20"/>
      <w:szCs w:val="20"/>
      <w:u w:val="none"/>
    </w:rPr>
  </w:style>
  <w:style w:type="character" w:customStyle="1" w:styleId="62">
    <w:name w:val="hover25"/>
    <w:basedOn w:val="23"/>
    <w:uiPriority w:val="0"/>
    <w:rPr>
      <w:color w:val="000000"/>
      <w:shd w:val="clear" w:color="auto" w:fill="FFFFFF"/>
    </w:rPr>
  </w:style>
  <w:style w:type="character" w:customStyle="1" w:styleId="63">
    <w:name w:val="Heading 2 Char"/>
    <w:locked/>
    <w:uiPriority w:val="0"/>
    <w:rPr>
      <w:rFonts w:ascii="Cambria" w:hAnsi="Cambria" w:eastAsia="宋体" w:cs="Times New Roman"/>
      <w:b/>
      <w:bCs/>
      <w:sz w:val="32"/>
      <w:szCs w:val="32"/>
    </w:rPr>
  </w:style>
  <w:style w:type="character" w:customStyle="1" w:styleId="64">
    <w:name w:val="font11"/>
    <w:basedOn w:val="23"/>
    <w:uiPriority w:val="0"/>
    <w:rPr>
      <w:rFonts w:hint="eastAsia" w:ascii="仿宋" w:hAnsi="仿宋" w:eastAsia="仿宋" w:cs="仿宋"/>
      <w:color w:val="000000"/>
      <w:sz w:val="24"/>
      <w:szCs w:val="24"/>
      <w:u w:val="none"/>
    </w:rPr>
  </w:style>
  <w:style w:type="character" w:customStyle="1" w:styleId="65">
    <w:name w:val="font91"/>
    <w:basedOn w:val="23"/>
    <w:uiPriority w:val="0"/>
    <w:rPr>
      <w:rFonts w:hint="default" w:ascii="Times New Roman" w:hAnsi="Times New Roman" w:cs="Times New Roman"/>
      <w:color w:val="000000"/>
      <w:sz w:val="16"/>
      <w:szCs w:val="16"/>
      <w:u w:val="none"/>
    </w:rPr>
  </w:style>
  <w:style w:type="character" w:customStyle="1" w:styleId="66">
    <w:name w:val="font61"/>
    <w:basedOn w:val="23"/>
    <w:uiPriority w:val="0"/>
    <w:rPr>
      <w:rFonts w:hint="eastAsia" w:ascii="宋体" w:hAnsi="宋体" w:eastAsia="宋体" w:cs="宋体"/>
      <w:b/>
      <w:color w:val="000000"/>
      <w:sz w:val="20"/>
      <w:szCs w:val="20"/>
      <w:u w:val="none"/>
    </w:rPr>
  </w:style>
  <w:style w:type="character" w:customStyle="1" w:styleId="67">
    <w:name w:val="hover23"/>
    <w:basedOn w:val="23"/>
    <w:uiPriority w:val="0"/>
    <w:rPr>
      <w:color w:val="000000"/>
      <w:shd w:val="clear" w:color="auto" w:fill="FFFFFF"/>
    </w:rPr>
  </w:style>
  <w:style w:type="paragraph" w:customStyle="1" w:styleId="68">
    <w:name w:val="列出段落1"/>
    <w:basedOn w:val="1"/>
    <w:uiPriority w:val="0"/>
    <w:pPr>
      <w:ind w:firstLine="420" w:firstLineChars="200"/>
    </w:pPr>
  </w:style>
  <w:style w:type="paragraph" w:customStyle="1" w:styleId="69">
    <w:name w:val="1111"/>
    <w:basedOn w:val="1"/>
    <w:uiPriority w:val="0"/>
    <w:pPr>
      <w:spacing w:line="360" w:lineRule="auto"/>
      <w:ind w:firstLine="200" w:firstLineChars="200"/>
    </w:pPr>
    <w:rPr>
      <w:rFonts w:eastAsia="仿宋_GB2312"/>
      <w:sz w:val="24"/>
    </w:rPr>
  </w:style>
  <w:style w:type="paragraph" w:styleId="70">
    <w:name w:val="List Paragraph"/>
    <w:basedOn w:val="1"/>
    <w:qFormat/>
    <w:uiPriority w:val="0"/>
    <w:pPr>
      <w:ind w:firstLine="420" w:firstLineChars="200"/>
    </w:pPr>
  </w:style>
  <w:style w:type="character" w:customStyle="1" w:styleId="71">
    <w:name w:val="font111"/>
    <w:basedOn w:val="23"/>
    <w:uiPriority w:val="0"/>
    <w:rPr>
      <w:rFonts w:hint="default" w:ascii="Times New Roman" w:hAnsi="Times New Roman" w:cs="Times New Roman"/>
      <w:color w:val="000000"/>
      <w:sz w:val="20"/>
      <w:szCs w:val="20"/>
      <w:u w:val="none"/>
    </w:rPr>
  </w:style>
  <w:style w:type="character" w:customStyle="1" w:styleId="72">
    <w:name w:val="font112"/>
    <w:basedOn w:val="23"/>
    <w:uiPriority w:val="0"/>
    <w:rPr>
      <w:rFonts w:hint="default" w:ascii="Times New Roman" w:hAnsi="Times New Roman" w:cs="Times New Roman"/>
      <w:color w:val="000000"/>
      <w:sz w:val="18"/>
      <w:szCs w:val="18"/>
      <w:u w:val="none"/>
    </w:rPr>
  </w:style>
  <w:style w:type="character" w:customStyle="1" w:styleId="73">
    <w:name w:val="NormalCharacter"/>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19719</Words>
  <Characters>25622</Characters>
  <Lines>85</Lines>
  <Paragraphs>24</Paragraphs>
  <TotalTime>82</TotalTime>
  <ScaleCrop>false</ScaleCrop>
  <LinksUpToDate>false</LinksUpToDate>
  <CharactersWithSpaces>25854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2017-09-01T08:20:00Z</dcterms:created>
  <dc:creator>Administrator</dc:creator>
  <cp:lastModifiedBy>Administrator</cp:lastModifiedBy>
  <cp:lastPrinted>2021-11-30T08:53:20Z</cp:lastPrinted>
  <dcterms:modified xsi:type="dcterms:W3CDTF">2022-09-02T03:35:06Z</dcterms:modified>
  <dc:title>岳阳市2012-2017年</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A4DCEE0A93904BFAAC54EB4405454A15</vt:lpwstr>
  </property>
</Properties>
</file>