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hint="eastAsia" w:ascii="楷体_GB2312" w:hAnsi="宋体" w:eastAsia="楷体_GB2312"/>
          <w:b/>
          <w:sz w:val="32"/>
          <w:szCs w:val="32"/>
        </w:rPr>
      </w:pPr>
      <w:r>
        <w:rPr>
          <w:rFonts w:hint="eastAsia" w:ascii="楷体_GB2312" w:hAnsi="宋体" w:eastAsia="楷体_GB2312"/>
          <w:b/>
          <w:sz w:val="32"/>
          <w:szCs w:val="32"/>
        </w:rPr>
        <w:t xml:space="preserve"> </w:t>
      </w:r>
    </w:p>
    <w:p>
      <w:pPr>
        <w:spacing w:line="760" w:lineRule="exact"/>
        <w:jc w:val="center"/>
        <w:rPr>
          <w:rFonts w:ascii="楷体_GB2312" w:hAnsi="宋体" w:eastAsia="楷体_GB2312"/>
          <w:b/>
          <w:color w:val="auto"/>
          <w:sz w:val="32"/>
          <w:szCs w:val="32"/>
          <w:highlight w:val="none"/>
        </w:rPr>
      </w:pPr>
      <w:r>
        <w:rPr>
          <w:rFonts w:hint="eastAsia" w:ascii="楷体_GB2312" w:hAnsi="宋体" w:eastAsia="楷体_GB2312"/>
          <w:b/>
          <w:color w:val="auto"/>
          <w:sz w:val="32"/>
          <w:szCs w:val="32"/>
          <w:highlight w:val="none"/>
          <w:lang w:val="en-US" w:eastAsia="zh-CN"/>
        </w:rPr>
        <w:t>2020</w:t>
      </w:r>
      <w:r>
        <w:rPr>
          <w:rFonts w:hint="eastAsia" w:ascii="楷体_GB2312" w:hAnsi="宋体" w:eastAsia="楷体_GB2312"/>
          <w:b/>
          <w:color w:val="auto"/>
          <w:sz w:val="32"/>
          <w:szCs w:val="32"/>
          <w:highlight w:val="none"/>
        </w:rPr>
        <w:t>年</w:t>
      </w:r>
      <w:r>
        <w:rPr>
          <w:rFonts w:hint="eastAsia" w:ascii="楷体_GB2312" w:hAnsi="宋体" w:eastAsia="楷体_GB2312"/>
          <w:b/>
          <w:color w:val="auto"/>
          <w:sz w:val="32"/>
          <w:szCs w:val="32"/>
          <w:highlight w:val="none"/>
          <w:lang w:eastAsia="zh-CN"/>
        </w:rPr>
        <w:t>岳阳市云溪区</w:t>
      </w:r>
      <w:r>
        <w:rPr>
          <w:rFonts w:hint="eastAsia" w:ascii="楷体_GB2312" w:hAnsi="宋体" w:eastAsia="楷体_GB2312"/>
          <w:b/>
          <w:color w:val="auto"/>
          <w:sz w:val="32"/>
          <w:szCs w:val="32"/>
          <w:highlight w:val="none"/>
          <w:lang w:val="en-US" w:eastAsia="zh-CN"/>
        </w:rPr>
        <w:t>应急管理局</w:t>
      </w:r>
      <w:r>
        <w:rPr>
          <w:rFonts w:hint="eastAsia" w:ascii="楷体_GB2312" w:hAnsi="宋体" w:eastAsia="楷体_GB2312"/>
          <w:b/>
          <w:color w:val="auto"/>
          <w:sz w:val="32"/>
          <w:szCs w:val="32"/>
          <w:highlight w:val="none"/>
        </w:rPr>
        <w:t>整体支出</w:t>
      </w:r>
    </w:p>
    <w:p>
      <w:pPr>
        <w:spacing w:line="1200" w:lineRule="exact"/>
        <w:ind w:firstLine="1027" w:firstLineChars="100"/>
        <w:rPr>
          <w:rFonts w:ascii="楷体_GB2312" w:hAnsi="宋体" w:eastAsia="楷体_GB2312"/>
          <w:b/>
          <w:bCs/>
          <w:spacing w:val="152"/>
          <w:sz w:val="72"/>
          <w:szCs w:val="72"/>
        </w:rPr>
      </w:pPr>
      <w:r>
        <w:rPr>
          <w:rFonts w:hint="eastAsia" w:ascii="楷体_GB2312" w:hAnsi="宋体" w:eastAsia="楷体_GB2312"/>
          <w:b/>
          <w:bCs/>
          <w:spacing w:val="152"/>
          <w:sz w:val="72"/>
          <w:szCs w:val="72"/>
        </w:rPr>
        <w:t>绩效评价报告</w:t>
      </w:r>
      <w:bookmarkStart w:id="0" w:name="_GoBack"/>
      <w:bookmarkEnd w:id="0"/>
      <w:r>
        <w:rPr>
          <w:rFonts w:hint="eastAsia" w:ascii="楷体_GB2312" w:hAnsi="宋体" w:eastAsia="楷体_GB2312"/>
          <w:b/>
          <w:bCs/>
          <w:spacing w:val="152"/>
          <w:sz w:val="72"/>
          <w:szCs w:val="72"/>
        </w:rPr>
        <w:t>书</w:t>
      </w:r>
    </w:p>
    <w:p>
      <w:pPr>
        <w:spacing w:line="760" w:lineRule="exact"/>
        <w:jc w:val="center"/>
        <w:outlineLvl w:val="0"/>
        <w:rPr>
          <w:rFonts w:ascii="楷体_GB2312" w:hAnsi="宋体" w:eastAsia="楷体_GB2312"/>
          <w:b/>
          <w:bCs/>
          <w:sz w:val="32"/>
          <w:szCs w:val="32"/>
        </w:rPr>
      </w:pPr>
      <w:r>
        <w:rPr>
          <w:rFonts w:hint="eastAsia" w:ascii="楷体_GB2312" w:hAnsi="宋体" w:eastAsia="楷体_GB2312"/>
          <w:b/>
          <w:bCs/>
          <w:sz w:val="32"/>
          <w:szCs w:val="32"/>
        </w:rPr>
        <w:t xml:space="preserve">  湘</w:t>
      </w:r>
      <w:r>
        <w:rPr>
          <w:rFonts w:hint="eastAsia" w:ascii="楷体_GB2312" w:hAnsi="宋体" w:eastAsia="楷体_GB2312"/>
          <w:b/>
          <w:bCs/>
          <w:color w:val="auto"/>
          <w:sz w:val="32"/>
          <w:szCs w:val="32"/>
        </w:rPr>
        <w:t>恒兴专审字（</w:t>
      </w:r>
      <w:r>
        <w:rPr>
          <w:rFonts w:hint="eastAsia" w:ascii="楷体_GB2312" w:hAnsi="宋体" w:eastAsia="楷体_GB2312"/>
          <w:b/>
          <w:bCs/>
          <w:color w:val="auto"/>
          <w:sz w:val="32"/>
          <w:szCs w:val="32"/>
          <w:highlight w:val="none"/>
        </w:rPr>
        <w:t>20</w:t>
      </w:r>
      <w:r>
        <w:rPr>
          <w:rFonts w:hint="eastAsia" w:ascii="楷体_GB2312" w:hAnsi="宋体" w:eastAsia="楷体_GB2312"/>
          <w:b/>
          <w:bCs/>
          <w:color w:val="auto"/>
          <w:sz w:val="32"/>
          <w:szCs w:val="32"/>
          <w:highlight w:val="none"/>
          <w:lang w:val="en-US" w:eastAsia="zh-CN"/>
        </w:rPr>
        <w:t>21</w:t>
      </w:r>
      <w:r>
        <w:rPr>
          <w:rFonts w:hint="eastAsia" w:ascii="楷体_GB2312" w:hAnsi="宋体" w:eastAsia="楷体_GB2312"/>
          <w:b/>
          <w:bCs/>
          <w:color w:val="auto"/>
          <w:sz w:val="32"/>
          <w:szCs w:val="32"/>
        </w:rPr>
        <w:t>）第</w:t>
      </w:r>
      <w:r>
        <w:rPr>
          <w:rFonts w:hint="eastAsia" w:ascii="宋体" w:hAnsi="宋体" w:eastAsia="宋体" w:cs="宋体"/>
          <w:b w:val="0"/>
          <w:bCs/>
          <w:color w:val="auto"/>
          <w:sz w:val="24"/>
          <w:szCs w:val="24"/>
          <w:highlight w:val="none"/>
          <w:u w:val="single"/>
          <w:lang w:val="en-US" w:eastAsia="zh-CN"/>
        </w:rPr>
        <w:t xml:space="preserve">    </w:t>
      </w:r>
      <w:r>
        <w:rPr>
          <w:rFonts w:hint="eastAsia" w:ascii="楷体_GB2312" w:hAnsi="宋体" w:eastAsia="楷体_GB2312"/>
          <w:b/>
          <w:bCs/>
          <w:color w:val="auto"/>
          <w:sz w:val="32"/>
          <w:szCs w:val="32"/>
        </w:rPr>
        <w:t>号</w:t>
      </w:r>
    </w:p>
    <w:p>
      <w:pPr>
        <w:spacing w:line="760" w:lineRule="exact"/>
        <w:jc w:val="center"/>
        <w:rPr>
          <w:rFonts w:ascii="楷体_GB2312" w:hAnsi="宋体" w:eastAsia="楷体_GB2312"/>
          <w:b/>
          <w:bCs/>
        </w:rPr>
      </w:pPr>
    </w:p>
    <w:p>
      <w:pPr>
        <w:spacing w:line="760" w:lineRule="exact"/>
        <w:jc w:val="center"/>
        <w:rPr>
          <w:rFonts w:ascii="楷体_GB2312" w:hAnsi="宋体" w:eastAsia="楷体_GB2312"/>
          <w:b/>
          <w:bCs/>
        </w:rPr>
      </w:pPr>
    </w:p>
    <w:p>
      <w:pPr>
        <w:spacing w:line="760" w:lineRule="exact"/>
        <w:jc w:val="center"/>
        <w:rPr>
          <w:rFonts w:ascii="楷体_GB2312" w:hAnsi="宋体" w:eastAsia="楷体_GB2312"/>
          <w:b/>
          <w:bCs/>
        </w:rPr>
      </w:pPr>
    </w:p>
    <w:p>
      <w:pPr>
        <w:spacing w:line="760" w:lineRule="exact"/>
        <w:rPr>
          <w:rFonts w:ascii="楷体_GB2312" w:hAnsi="宋体" w:eastAsia="楷体_GB2312"/>
          <w:b/>
          <w:bCs/>
        </w:rPr>
      </w:pPr>
    </w:p>
    <w:p>
      <w:pPr>
        <w:spacing w:line="760" w:lineRule="exact"/>
        <w:rPr>
          <w:rFonts w:ascii="楷体_GB2312" w:hAnsi="宋体" w:eastAsia="楷体_GB2312"/>
          <w:b/>
          <w:bCs/>
        </w:rPr>
      </w:pPr>
    </w:p>
    <w:p>
      <w:pPr>
        <w:spacing w:line="760" w:lineRule="exact"/>
        <w:rPr>
          <w:rFonts w:ascii="楷体_GB2312" w:hAnsi="宋体" w:eastAsia="楷体_GB2312"/>
          <w:b/>
          <w:bCs/>
        </w:rPr>
      </w:pPr>
    </w:p>
    <w:p>
      <w:pPr>
        <w:spacing w:line="760" w:lineRule="exact"/>
        <w:rPr>
          <w:rFonts w:ascii="楷体_GB2312" w:hAnsi="宋体" w:eastAsia="楷体_GB2312"/>
          <w:b/>
          <w:bCs/>
        </w:rPr>
      </w:pPr>
    </w:p>
    <w:p>
      <w:pPr>
        <w:spacing w:line="760" w:lineRule="exact"/>
        <w:rPr>
          <w:rFonts w:ascii="楷体_GB2312" w:hAnsi="宋体" w:eastAsia="楷体_GB2312"/>
          <w:b/>
          <w:bCs/>
        </w:rPr>
      </w:pPr>
    </w:p>
    <w:p>
      <w:pPr>
        <w:spacing w:line="760" w:lineRule="exact"/>
        <w:rPr>
          <w:rFonts w:ascii="楷体_GB2312" w:hAnsi="宋体" w:eastAsia="楷体_GB2312"/>
          <w:b/>
          <w:bCs/>
        </w:rPr>
      </w:pPr>
    </w:p>
    <w:p>
      <w:pPr>
        <w:spacing w:line="760" w:lineRule="exact"/>
        <w:rPr>
          <w:rFonts w:ascii="楷体_GB2312" w:hAnsi="宋体" w:eastAsia="楷体_GB2312"/>
          <w:b/>
          <w:bCs/>
        </w:rPr>
      </w:pPr>
    </w:p>
    <w:p>
      <w:pPr>
        <w:spacing w:line="760" w:lineRule="exact"/>
        <w:outlineLvl w:val="0"/>
        <w:rPr>
          <w:rFonts w:ascii="楷体_GB2312" w:hAnsi="宋体" w:eastAsia="楷体_GB2312"/>
          <w:b/>
          <w:bCs/>
        </w:rPr>
      </w:pPr>
    </w:p>
    <w:p>
      <w:pPr>
        <w:spacing w:line="760" w:lineRule="exact"/>
        <w:jc w:val="center"/>
        <w:outlineLvl w:val="0"/>
        <w:rPr>
          <w:rFonts w:ascii="楷体_GB2312" w:hAnsi="宋体" w:eastAsia="楷体_GB2312"/>
          <w:b/>
          <w:bCs/>
          <w:spacing w:val="40"/>
          <w:sz w:val="32"/>
          <w:szCs w:val="32"/>
        </w:rPr>
      </w:pPr>
      <w:r>
        <w:rPr>
          <w:rFonts w:hint="eastAsia" w:ascii="楷体_GB2312" w:hAnsi="宋体" w:eastAsia="楷体_GB2312"/>
          <w:b/>
          <w:bCs/>
        </w:rPr>
        <w:t xml:space="preserve">    </w:t>
      </w:r>
      <w:r>
        <w:rPr>
          <w:rFonts w:hint="eastAsia" w:ascii="楷体_GB2312" w:hAnsi="宋体" w:eastAsia="楷体_GB2312"/>
          <w:b/>
          <w:bCs/>
          <w:spacing w:val="40"/>
          <w:sz w:val="32"/>
          <w:szCs w:val="32"/>
        </w:rPr>
        <w:t>湖南恒兴联合会计师事务所</w:t>
      </w:r>
    </w:p>
    <w:p>
      <w:pPr>
        <w:spacing w:line="760" w:lineRule="exact"/>
        <w:jc w:val="center"/>
        <w:rPr>
          <w:rFonts w:ascii="楷体_GB2312" w:hAnsi="宋体" w:eastAsia="楷体_GB2312"/>
          <w:b/>
          <w:bCs/>
          <w:sz w:val="32"/>
          <w:szCs w:val="32"/>
        </w:rPr>
      </w:pPr>
      <w:r>
        <w:rPr>
          <w:rFonts w:hint="eastAsia" w:ascii="楷体_GB2312" w:hAnsi="宋体" w:eastAsia="楷体_GB2312"/>
          <w:b/>
          <w:bCs/>
          <w:sz w:val="32"/>
          <w:szCs w:val="32"/>
        </w:rPr>
        <w:t xml:space="preserve">  二0</w:t>
      </w:r>
      <w:r>
        <w:rPr>
          <w:rFonts w:hint="eastAsia" w:ascii="楷体_GB2312" w:hAnsi="宋体" w:eastAsia="楷体_GB2312"/>
          <w:b/>
          <w:bCs/>
          <w:sz w:val="32"/>
          <w:szCs w:val="32"/>
          <w:lang w:val="en-US" w:eastAsia="zh-CN"/>
        </w:rPr>
        <w:t>二一</w:t>
      </w:r>
      <w:r>
        <w:rPr>
          <w:rFonts w:hint="eastAsia" w:ascii="楷体_GB2312" w:hAnsi="宋体" w:eastAsia="楷体_GB2312"/>
          <w:b/>
          <w:bCs/>
          <w:sz w:val="32"/>
          <w:szCs w:val="32"/>
        </w:rPr>
        <w:t>年</w:t>
      </w:r>
      <w:r>
        <w:rPr>
          <w:rFonts w:hint="eastAsia" w:ascii="楷体_GB2312" w:hAnsi="宋体" w:eastAsia="楷体_GB2312"/>
          <w:b/>
          <w:bCs/>
          <w:sz w:val="32"/>
          <w:szCs w:val="32"/>
          <w:lang w:val="en-US" w:eastAsia="zh-CN"/>
        </w:rPr>
        <w:t>十一</w:t>
      </w:r>
      <w:r>
        <w:rPr>
          <w:rFonts w:hint="eastAsia" w:ascii="楷体_GB2312" w:hAnsi="宋体" w:eastAsia="楷体_GB2312"/>
          <w:b/>
          <w:bCs/>
          <w:sz w:val="32"/>
          <w:szCs w:val="32"/>
        </w:rPr>
        <w:t>月</w:t>
      </w:r>
    </w:p>
    <w:p>
      <w:pPr>
        <w:spacing w:line="760" w:lineRule="exact"/>
        <w:ind w:firstLine="1446" w:firstLineChars="400"/>
        <w:jc w:val="both"/>
        <w:outlineLvl w:val="0"/>
        <w:rPr>
          <w:rFonts w:hint="eastAsia" w:ascii="黑体" w:hAnsi="黑体" w:eastAsia="黑体"/>
          <w:b/>
          <w:bCs/>
          <w:sz w:val="36"/>
          <w:szCs w:val="36"/>
        </w:rPr>
        <w:sectPr>
          <w:headerReference r:id="rId4" w:type="first"/>
          <w:headerReference r:id="rId3" w:type="default"/>
          <w:pgSz w:w="11906" w:h="16838"/>
          <w:pgMar w:top="1440" w:right="1644" w:bottom="1247" w:left="1644" w:header="851" w:footer="992" w:gutter="0"/>
          <w:pgNumType w:fmt="decimal" w:start="1"/>
          <w:cols w:space="720" w:num="1"/>
          <w:docGrid w:type="lines" w:linePitch="312" w:charSpace="0"/>
        </w:sectPr>
      </w:pPr>
    </w:p>
    <w:p>
      <w:pPr>
        <w:spacing w:line="760" w:lineRule="exact"/>
        <w:jc w:val="center"/>
        <w:outlineLvl w:val="0"/>
        <w:rPr>
          <w:rFonts w:hint="eastAsia" w:ascii="黑体" w:hAnsi="黑体" w:eastAsia="黑体"/>
          <w:b/>
          <w:bCs/>
          <w:color w:val="auto"/>
          <w:sz w:val="36"/>
          <w:szCs w:val="36"/>
        </w:rPr>
      </w:pPr>
      <w:r>
        <w:rPr>
          <w:rFonts w:hint="eastAsia" w:ascii="黑体" w:hAnsi="黑体" w:eastAsia="黑体"/>
          <w:b/>
          <w:bCs/>
          <w:color w:val="auto"/>
          <w:sz w:val="36"/>
          <w:szCs w:val="36"/>
          <w:highlight w:val="none"/>
          <w:lang w:val="en-US" w:eastAsia="zh-CN"/>
        </w:rPr>
        <w:t>2020</w:t>
      </w:r>
      <w:r>
        <w:rPr>
          <w:rFonts w:hint="eastAsia" w:ascii="黑体" w:hAnsi="黑体" w:eastAsia="黑体"/>
          <w:b/>
          <w:bCs/>
          <w:color w:val="auto"/>
          <w:sz w:val="36"/>
          <w:szCs w:val="36"/>
          <w:highlight w:val="none"/>
        </w:rPr>
        <w:t>年</w:t>
      </w:r>
      <w:r>
        <w:rPr>
          <w:rFonts w:hint="eastAsia" w:ascii="黑体" w:hAnsi="黑体" w:eastAsia="黑体"/>
          <w:b/>
          <w:bCs/>
          <w:color w:val="auto"/>
          <w:sz w:val="36"/>
          <w:szCs w:val="36"/>
          <w:highlight w:val="none"/>
          <w:lang w:eastAsia="zh-CN"/>
        </w:rPr>
        <w:t>度</w:t>
      </w:r>
      <w:r>
        <w:rPr>
          <w:rFonts w:hint="eastAsia" w:ascii="黑体" w:hAnsi="黑体" w:eastAsia="黑体"/>
          <w:b/>
          <w:bCs/>
          <w:color w:val="auto"/>
          <w:sz w:val="36"/>
          <w:szCs w:val="36"/>
          <w:lang w:eastAsia="zh-CN"/>
        </w:rPr>
        <w:t>云溪区</w:t>
      </w:r>
      <w:r>
        <w:rPr>
          <w:rFonts w:hint="eastAsia" w:ascii="黑体" w:hAnsi="黑体" w:eastAsia="黑体"/>
          <w:b/>
          <w:bCs/>
          <w:color w:val="auto"/>
          <w:sz w:val="36"/>
          <w:szCs w:val="36"/>
          <w:highlight w:val="none"/>
          <w:lang w:val="en-US" w:eastAsia="zh-CN"/>
        </w:rPr>
        <w:t>应急管理局</w:t>
      </w:r>
      <w:r>
        <w:rPr>
          <w:rFonts w:hint="eastAsia" w:ascii="黑体" w:hAnsi="黑体" w:eastAsia="黑体"/>
          <w:b/>
          <w:bCs/>
          <w:color w:val="auto"/>
          <w:sz w:val="36"/>
          <w:szCs w:val="36"/>
        </w:rPr>
        <w:t>整体支出</w:t>
      </w:r>
    </w:p>
    <w:p>
      <w:pPr>
        <w:spacing w:line="760" w:lineRule="exact"/>
        <w:jc w:val="center"/>
        <w:outlineLvl w:val="0"/>
        <w:rPr>
          <w:rFonts w:ascii="黑体" w:hAnsi="黑体" w:eastAsia="黑体"/>
          <w:b/>
          <w:bCs/>
          <w:color w:val="auto"/>
          <w:sz w:val="36"/>
          <w:szCs w:val="36"/>
        </w:rPr>
      </w:pPr>
      <w:r>
        <w:rPr>
          <w:rFonts w:hint="eastAsia" w:ascii="黑体" w:hAnsi="黑体" w:eastAsia="黑体"/>
          <w:b/>
          <w:bCs/>
          <w:color w:val="auto"/>
          <w:sz w:val="36"/>
          <w:szCs w:val="36"/>
        </w:rPr>
        <w:t>绩效评价报告</w:t>
      </w:r>
    </w:p>
    <w:p>
      <w:pPr>
        <w:spacing w:line="800" w:lineRule="exact"/>
        <w:rPr>
          <w:rFonts w:ascii="黑体" w:hAnsi="黑体" w:eastAsia="黑体"/>
          <w:b/>
          <w:sz w:val="36"/>
          <w:szCs w:val="36"/>
        </w:rPr>
      </w:pPr>
    </w:p>
    <w:p>
      <w:pPr>
        <w:spacing w:line="800" w:lineRule="exact"/>
        <w:ind w:left="2111" w:leftChars="470" w:hanging="1124" w:hangingChars="400"/>
        <w:rPr>
          <w:rFonts w:ascii="宋体" w:hAnsi="宋体"/>
          <w:b/>
          <w:sz w:val="28"/>
          <w:szCs w:val="28"/>
        </w:rPr>
      </w:pPr>
    </w:p>
    <w:p>
      <w:pPr>
        <w:spacing w:line="800" w:lineRule="exact"/>
        <w:ind w:left="2111" w:leftChars="470" w:hanging="1124" w:hangingChars="400"/>
        <w:rPr>
          <w:rFonts w:ascii="宋体" w:hAnsi="宋体"/>
          <w:b/>
          <w:sz w:val="28"/>
          <w:szCs w:val="28"/>
        </w:rPr>
      </w:pPr>
    </w:p>
    <w:p>
      <w:pPr>
        <w:spacing w:line="760" w:lineRule="exact"/>
        <w:ind w:firstLine="1124" w:firstLineChars="400"/>
        <w:jc w:val="both"/>
        <w:outlineLvl w:val="0"/>
        <w:rPr>
          <w:rFonts w:hint="default" w:ascii="黑体" w:hAnsi="黑体" w:eastAsia="黑体" w:cs="黑体"/>
          <w:b w:val="0"/>
          <w:bCs w:val="0"/>
          <w:color w:val="auto"/>
          <w:sz w:val="28"/>
          <w:szCs w:val="28"/>
          <w:lang w:val="en-US" w:eastAsia="zh-CN"/>
        </w:rPr>
      </w:pPr>
      <w:r>
        <w:rPr>
          <w:rFonts w:hint="eastAsia" w:ascii="宋体" w:hAnsi="宋体"/>
          <w:b/>
          <w:bCs w:val="0"/>
          <w:color w:val="auto"/>
          <w:sz w:val="28"/>
          <w:szCs w:val="28"/>
        </w:rPr>
        <w:t>项目名称</w:t>
      </w:r>
      <w:r>
        <w:rPr>
          <w:rFonts w:hint="eastAsia" w:ascii="宋体" w:hAnsi="宋体"/>
          <w:b/>
          <w:color w:val="auto"/>
          <w:sz w:val="28"/>
          <w:szCs w:val="28"/>
        </w:rPr>
        <w:t xml:space="preserve"> </w:t>
      </w:r>
      <w:r>
        <w:rPr>
          <w:rFonts w:hint="eastAsia" w:ascii="宋体" w:hAnsi="宋体"/>
          <w:b/>
          <w:color w:val="auto"/>
          <w:sz w:val="28"/>
          <w:szCs w:val="28"/>
          <w:lang w:val="en-US" w:eastAsia="zh-CN"/>
        </w:rPr>
        <w:t xml:space="preserve"> </w:t>
      </w:r>
      <w:r>
        <w:rPr>
          <w:rFonts w:hint="eastAsia" w:ascii="黑体" w:hAnsi="黑体" w:eastAsia="黑体" w:cs="黑体"/>
          <w:b w:val="0"/>
          <w:bCs w:val="0"/>
          <w:color w:val="auto"/>
          <w:sz w:val="28"/>
          <w:szCs w:val="28"/>
          <w:highlight w:val="none"/>
        </w:rPr>
        <w:t>20</w:t>
      </w:r>
      <w:r>
        <w:rPr>
          <w:rFonts w:hint="eastAsia" w:ascii="黑体" w:hAnsi="黑体" w:eastAsia="黑体" w:cs="黑体"/>
          <w:b w:val="0"/>
          <w:bCs w:val="0"/>
          <w:color w:val="auto"/>
          <w:sz w:val="28"/>
          <w:szCs w:val="28"/>
          <w:highlight w:val="none"/>
          <w:lang w:val="en-US" w:eastAsia="zh-CN"/>
        </w:rPr>
        <w:t>20</w:t>
      </w:r>
      <w:r>
        <w:rPr>
          <w:rFonts w:hint="eastAsia" w:ascii="黑体" w:hAnsi="黑体" w:eastAsia="黑体" w:cs="黑体"/>
          <w:b w:val="0"/>
          <w:bCs w:val="0"/>
          <w:color w:val="auto"/>
          <w:sz w:val="28"/>
          <w:szCs w:val="28"/>
          <w:highlight w:val="none"/>
        </w:rPr>
        <w:t>年</w:t>
      </w:r>
      <w:r>
        <w:rPr>
          <w:rFonts w:hint="eastAsia" w:ascii="黑体" w:hAnsi="黑体" w:eastAsia="黑体" w:cs="黑体"/>
          <w:b w:val="0"/>
          <w:bCs w:val="0"/>
          <w:color w:val="auto"/>
          <w:sz w:val="28"/>
          <w:szCs w:val="28"/>
          <w:lang w:eastAsia="zh-CN"/>
        </w:rPr>
        <w:t>度云溪区</w:t>
      </w:r>
      <w:r>
        <w:rPr>
          <w:rFonts w:hint="eastAsia" w:ascii="黑体" w:hAnsi="黑体" w:eastAsia="黑体" w:cs="黑体"/>
          <w:b w:val="0"/>
          <w:bCs w:val="0"/>
          <w:color w:val="auto"/>
          <w:sz w:val="28"/>
          <w:szCs w:val="28"/>
          <w:highlight w:val="none"/>
          <w:lang w:val="en-US" w:eastAsia="zh-CN"/>
        </w:rPr>
        <w:t>应急管理局</w:t>
      </w:r>
      <w:r>
        <w:rPr>
          <w:rFonts w:hint="eastAsia" w:ascii="黑体" w:hAnsi="黑体" w:eastAsia="黑体" w:cs="黑体"/>
          <w:b w:val="0"/>
          <w:bCs w:val="0"/>
          <w:color w:val="auto"/>
          <w:sz w:val="28"/>
          <w:szCs w:val="28"/>
          <w:lang w:val="en-US" w:eastAsia="zh-CN"/>
        </w:rPr>
        <w:t>整体支出</w:t>
      </w:r>
    </w:p>
    <w:p>
      <w:pPr>
        <w:spacing w:line="800" w:lineRule="exact"/>
        <w:ind w:firstLine="1120" w:firstLineChars="400"/>
        <w:rPr>
          <w:rFonts w:hint="default" w:ascii="黑体" w:hAnsi="黑体" w:eastAsia="黑体" w:cs="黑体"/>
          <w:b w:val="0"/>
          <w:bCs w:val="0"/>
          <w:color w:val="auto"/>
          <w:sz w:val="28"/>
          <w:szCs w:val="28"/>
          <w:highlight w:val="none"/>
          <w:lang w:val="en-US"/>
        </w:rPr>
      </w:pPr>
      <w:r>
        <w:rPr>
          <w:rFonts w:hint="eastAsia" w:ascii="黑体" w:hAnsi="黑体" w:eastAsia="黑体" w:cs="黑体"/>
          <w:b w:val="0"/>
          <w:bCs w:val="0"/>
          <w:color w:val="auto"/>
          <w:sz w:val="28"/>
          <w:szCs w:val="28"/>
        </w:rPr>
        <w:t xml:space="preserve">项目单位 </w:t>
      </w:r>
      <w:r>
        <w:rPr>
          <w:rFonts w:hint="eastAsia" w:ascii="黑体" w:hAnsi="黑体" w:eastAsia="黑体" w:cs="黑体"/>
          <w:b w:val="0"/>
          <w:bCs w:val="0"/>
          <w:color w:val="auto"/>
          <w:sz w:val="28"/>
          <w:szCs w:val="28"/>
          <w:lang w:val="en-US" w:eastAsia="zh-CN"/>
        </w:rPr>
        <w:t xml:space="preserve"> </w:t>
      </w:r>
      <w:r>
        <w:rPr>
          <w:rFonts w:hint="eastAsia" w:ascii="黑体" w:hAnsi="黑体" w:eastAsia="黑体" w:cs="黑体"/>
          <w:b w:val="0"/>
          <w:bCs w:val="0"/>
          <w:color w:val="auto"/>
          <w:sz w:val="28"/>
          <w:szCs w:val="28"/>
          <w:lang w:eastAsia="zh-CN"/>
        </w:rPr>
        <w:t>岳阳市云溪区</w:t>
      </w:r>
      <w:r>
        <w:rPr>
          <w:rFonts w:hint="eastAsia" w:ascii="黑体" w:hAnsi="黑体" w:eastAsia="黑体" w:cs="黑体"/>
          <w:b w:val="0"/>
          <w:bCs w:val="0"/>
          <w:color w:val="auto"/>
          <w:sz w:val="28"/>
          <w:szCs w:val="28"/>
          <w:highlight w:val="none"/>
          <w:lang w:val="en-US" w:eastAsia="zh-CN"/>
        </w:rPr>
        <w:t>应急管理局</w:t>
      </w:r>
    </w:p>
    <w:p>
      <w:pPr>
        <w:spacing w:line="800" w:lineRule="exact"/>
        <w:ind w:firstLine="1103" w:firstLineChars="394"/>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 xml:space="preserve">委托单位 </w:t>
      </w:r>
      <w:r>
        <w:rPr>
          <w:rFonts w:hint="eastAsia" w:ascii="黑体" w:hAnsi="黑体" w:eastAsia="黑体" w:cs="黑体"/>
          <w:b w:val="0"/>
          <w:bCs w:val="0"/>
          <w:color w:val="auto"/>
          <w:sz w:val="28"/>
          <w:szCs w:val="28"/>
          <w:lang w:val="en-US" w:eastAsia="zh-CN"/>
        </w:rPr>
        <w:t xml:space="preserve"> </w:t>
      </w:r>
      <w:r>
        <w:rPr>
          <w:rFonts w:hint="eastAsia" w:ascii="黑体" w:hAnsi="黑体" w:eastAsia="黑体" w:cs="黑体"/>
          <w:b w:val="0"/>
          <w:bCs w:val="0"/>
          <w:color w:val="auto"/>
          <w:sz w:val="28"/>
          <w:szCs w:val="28"/>
        </w:rPr>
        <w:t>岳阳市云溪区财政局</w:t>
      </w:r>
    </w:p>
    <w:p>
      <w:pPr>
        <w:spacing w:line="800" w:lineRule="exact"/>
        <w:ind w:firstLine="1120" w:firstLineChars="400"/>
        <w:rPr>
          <w:rFonts w:ascii="宋体" w:hAnsi="宋体"/>
          <w:color w:val="auto"/>
          <w:sz w:val="28"/>
          <w:szCs w:val="28"/>
        </w:rPr>
      </w:pPr>
      <w:r>
        <w:rPr>
          <w:rFonts w:hint="eastAsia" w:ascii="黑体" w:hAnsi="黑体" w:eastAsia="黑体" w:cs="黑体"/>
          <w:b w:val="0"/>
          <w:bCs w:val="0"/>
          <w:color w:val="auto"/>
          <w:sz w:val="28"/>
          <w:szCs w:val="28"/>
        </w:rPr>
        <w:t xml:space="preserve">评价机构 </w:t>
      </w:r>
      <w:r>
        <w:rPr>
          <w:rFonts w:hint="eastAsia" w:ascii="黑体" w:hAnsi="黑体" w:eastAsia="黑体" w:cs="黑体"/>
          <w:b w:val="0"/>
          <w:bCs w:val="0"/>
          <w:color w:val="auto"/>
          <w:sz w:val="28"/>
          <w:szCs w:val="28"/>
          <w:lang w:val="en-US" w:eastAsia="zh-CN"/>
        </w:rPr>
        <w:t xml:space="preserve"> </w:t>
      </w:r>
      <w:r>
        <w:rPr>
          <w:rFonts w:hint="eastAsia" w:ascii="黑体" w:hAnsi="黑体" w:eastAsia="黑体" w:cs="黑体"/>
          <w:b w:val="0"/>
          <w:bCs w:val="0"/>
          <w:color w:val="auto"/>
          <w:sz w:val="28"/>
          <w:szCs w:val="28"/>
        </w:rPr>
        <w:t>湖南恒兴联合会计师事务所</w:t>
      </w:r>
      <w:r>
        <w:rPr>
          <w:rFonts w:hint="eastAsia" w:ascii="黑体" w:hAnsi="宋体" w:eastAsia="黑体"/>
          <w:bCs/>
          <w:color w:val="auto"/>
          <w:sz w:val="28"/>
          <w:szCs w:val="28"/>
        </w:rPr>
        <w:t xml:space="preserve">  </w:t>
      </w:r>
    </w:p>
    <w:p>
      <w:pPr>
        <w:spacing w:line="800" w:lineRule="exact"/>
        <w:ind w:firstLine="1372" w:firstLineChars="490"/>
        <w:rPr>
          <w:rFonts w:ascii="宋体" w:hAnsi="宋体"/>
          <w:sz w:val="28"/>
          <w:szCs w:val="28"/>
        </w:rPr>
      </w:pPr>
    </w:p>
    <w:p>
      <w:pPr>
        <w:spacing w:line="800" w:lineRule="exact"/>
        <w:ind w:firstLine="964" w:firstLineChars="400"/>
        <w:rPr>
          <w:rFonts w:ascii="宋体" w:hAnsi="宋体"/>
          <w:b/>
          <w:sz w:val="24"/>
        </w:rPr>
      </w:pPr>
    </w:p>
    <w:p>
      <w:pPr>
        <w:spacing w:line="800" w:lineRule="exact"/>
        <w:ind w:firstLine="1205" w:firstLineChars="500"/>
        <w:rPr>
          <w:rFonts w:ascii="宋体" w:hAnsi="宋体"/>
          <w:b/>
          <w:sz w:val="24"/>
        </w:rPr>
      </w:pPr>
      <w:r>
        <w:rPr>
          <w:rFonts w:hint="eastAsia" w:ascii="宋体" w:hAnsi="宋体"/>
          <w:b/>
          <w:sz w:val="24"/>
        </w:rPr>
        <w:t>评价类型   事前评价□   事中评价□ 事后评价</w:t>
      </w:r>
      <w:r>
        <w:rPr>
          <w:rFonts w:hint="eastAsia" w:ascii="宋体" w:hAnsi="宋体"/>
          <w:b/>
          <w:sz w:val="24"/>
          <w:bdr w:val="single" w:color="auto" w:sz="4" w:space="0"/>
        </w:rPr>
        <w:t>√</w:t>
      </w:r>
    </w:p>
    <w:p>
      <w:pPr>
        <w:spacing w:line="800" w:lineRule="exact"/>
        <w:ind w:firstLine="1205" w:firstLineChars="500"/>
        <w:rPr>
          <w:rFonts w:ascii="宋体" w:hAnsi="宋体"/>
          <w:b/>
          <w:sz w:val="24"/>
        </w:rPr>
      </w:pPr>
      <w:r>
        <w:rPr>
          <w:rFonts w:hint="eastAsia" w:ascii="宋体" w:hAnsi="宋体"/>
          <w:b/>
          <w:sz w:val="24"/>
        </w:rPr>
        <w:t xml:space="preserve">评价方式： 部门（单位） 绩效自评□ </w:t>
      </w:r>
      <w:r>
        <w:rPr>
          <w:rFonts w:hint="eastAsia" w:ascii="宋体" w:hAnsi="宋体"/>
          <w:b/>
          <w:sz w:val="24"/>
          <w:lang w:val="en-US" w:eastAsia="zh-CN"/>
        </w:rPr>
        <w:t xml:space="preserve"> </w:t>
      </w:r>
      <w:r>
        <w:rPr>
          <w:rFonts w:hint="eastAsia" w:ascii="宋体" w:hAnsi="宋体"/>
          <w:b/>
          <w:sz w:val="24"/>
        </w:rPr>
        <w:t>财政部门组织评价</w:t>
      </w:r>
      <w:r>
        <w:rPr>
          <w:rFonts w:hint="eastAsia" w:ascii="宋体" w:hAnsi="宋体"/>
          <w:b/>
          <w:sz w:val="24"/>
          <w:bdr w:val="single" w:color="auto" w:sz="4" w:space="0"/>
        </w:rPr>
        <w:t>√</w:t>
      </w:r>
    </w:p>
    <w:p>
      <w:pPr>
        <w:spacing w:line="800" w:lineRule="exact"/>
        <w:ind w:firstLine="1205" w:firstLineChars="500"/>
        <w:rPr>
          <w:rFonts w:ascii="宋体" w:hAnsi="宋体"/>
          <w:b/>
          <w:sz w:val="24"/>
        </w:rPr>
      </w:pPr>
      <w:r>
        <w:rPr>
          <w:rFonts w:hint="eastAsia" w:ascii="宋体" w:hAnsi="宋体"/>
          <w:b/>
          <w:sz w:val="24"/>
        </w:rPr>
        <w:t>评价机构： 中介机构</w:t>
      </w:r>
      <w:r>
        <w:rPr>
          <w:rFonts w:hint="eastAsia" w:ascii="宋体" w:hAnsi="宋体"/>
          <w:b/>
          <w:sz w:val="24"/>
          <w:bdr w:val="single" w:color="auto" w:sz="4" w:space="0"/>
        </w:rPr>
        <w:t>√</w:t>
      </w:r>
      <w:r>
        <w:rPr>
          <w:rFonts w:hint="eastAsia" w:ascii="宋体" w:hAnsi="宋体"/>
          <w:b/>
          <w:sz w:val="24"/>
        </w:rPr>
        <w:t xml:space="preserve">   部门（单位）评价组□ </w:t>
      </w:r>
      <w:r>
        <w:rPr>
          <w:rFonts w:hint="eastAsia" w:ascii="宋体" w:hAnsi="宋体"/>
          <w:b/>
          <w:sz w:val="24"/>
          <w:lang w:val="en-US" w:eastAsia="zh-CN"/>
        </w:rPr>
        <w:t xml:space="preserve"> </w:t>
      </w:r>
      <w:r>
        <w:rPr>
          <w:rFonts w:hint="eastAsia" w:ascii="宋体" w:hAnsi="宋体"/>
          <w:b/>
          <w:sz w:val="24"/>
        </w:rPr>
        <w:t>财政评价组□</w:t>
      </w:r>
    </w:p>
    <w:p>
      <w:pPr>
        <w:spacing w:line="800" w:lineRule="exact"/>
        <w:rPr>
          <w:rFonts w:ascii="宋体" w:hAnsi="宋体"/>
          <w:b/>
          <w:sz w:val="24"/>
        </w:rPr>
      </w:pPr>
    </w:p>
    <w:p>
      <w:pPr>
        <w:spacing w:line="348" w:lineRule="auto"/>
        <w:jc w:val="center"/>
        <w:rPr>
          <w:rFonts w:ascii="宋体" w:hAnsi="宋体"/>
          <w:b/>
          <w:sz w:val="28"/>
          <w:szCs w:val="28"/>
        </w:rPr>
      </w:pPr>
      <w:r>
        <w:rPr>
          <w:rFonts w:hint="eastAsia" w:ascii="宋体" w:hAnsi="宋体"/>
          <w:sz w:val="28"/>
          <w:szCs w:val="28"/>
        </w:rPr>
        <w:t xml:space="preserve">   </w:t>
      </w:r>
      <w:r>
        <w:rPr>
          <w:rFonts w:hint="eastAsia" w:ascii="宋体" w:hAnsi="宋体"/>
          <w:b/>
          <w:sz w:val="28"/>
          <w:szCs w:val="28"/>
        </w:rPr>
        <w:t xml:space="preserve"> </w:t>
      </w:r>
    </w:p>
    <w:p>
      <w:pPr>
        <w:spacing w:line="348" w:lineRule="auto"/>
        <w:jc w:val="center"/>
        <w:rPr>
          <w:rFonts w:ascii="宋体" w:hAnsi="宋体"/>
          <w:b/>
          <w:sz w:val="28"/>
          <w:szCs w:val="28"/>
        </w:rPr>
      </w:pPr>
      <w:r>
        <w:rPr>
          <w:rFonts w:hint="eastAsia" w:ascii="宋体" w:hAnsi="宋体"/>
          <w:b/>
          <w:sz w:val="28"/>
          <w:szCs w:val="28"/>
        </w:rPr>
        <w:t xml:space="preserve">    评价时间：</w:t>
      </w:r>
      <w:r>
        <w:rPr>
          <w:rFonts w:hint="eastAsia" w:ascii="宋体" w:hAnsi="宋体"/>
          <w:b/>
          <w:sz w:val="28"/>
          <w:szCs w:val="28"/>
          <w:lang w:eastAsia="zh-CN"/>
        </w:rPr>
        <w:t>二</w:t>
      </w:r>
      <w:r>
        <w:rPr>
          <w:rFonts w:hint="eastAsia" w:ascii="宋体" w:hAnsi="宋体"/>
          <w:b/>
          <w:sz w:val="28"/>
          <w:szCs w:val="28"/>
          <w:lang w:val="en-US" w:eastAsia="zh-CN"/>
        </w:rPr>
        <w:t>0二一年十一</w:t>
      </w:r>
      <w:r>
        <w:rPr>
          <w:rFonts w:hint="eastAsia" w:ascii="宋体" w:hAnsi="宋体"/>
          <w:b/>
          <w:sz w:val="28"/>
          <w:szCs w:val="28"/>
        </w:rPr>
        <w:t>月</w:t>
      </w:r>
    </w:p>
    <w:p>
      <w:pPr>
        <w:spacing w:line="240" w:lineRule="atLeast"/>
        <w:outlineLvl w:val="0"/>
        <w:rPr>
          <w:rFonts w:hint="eastAsia" w:ascii="宋体" w:hAnsi="宋体"/>
          <w:b/>
          <w:sz w:val="24"/>
        </w:rPr>
      </w:pPr>
    </w:p>
    <w:p>
      <w:pPr>
        <w:spacing w:line="240" w:lineRule="atLeast"/>
        <w:outlineLvl w:val="0"/>
        <w:rPr>
          <w:rFonts w:hint="eastAsia" w:ascii="宋体" w:hAnsi="宋体"/>
          <w:b/>
          <w:sz w:val="24"/>
        </w:rPr>
      </w:pPr>
    </w:p>
    <w:p>
      <w:pPr>
        <w:jc w:val="center"/>
        <w:rPr>
          <w:rFonts w:hint="eastAsia" w:eastAsia="宋体"/>
          <w:b/>
          <w:sz w:val="30"/>
          <w:szCs w:val="30"/>
          <w:lang w:eastAsia="zh-CN"/>
        </w:rPr>
      </w:pPr>
      <w:r>
        <w:rPr>
          <w:rFonts w:hint="eastAsia"/>
          <w:b/>
          <w:sz w:val="30"/>
          <w:szCs w:val="30"/>
          <w:lang w:eastAsia="zh-CN"/>
        </w:rPr>
        <w:t>目</w:t>
      </w:r>
      <w:r>
        <w:rPr>
          <w:rFonts w:hint="eastAsia"/>
          <w:b/>
          <w:sz w:val="30"/>
          <w:szCs w:val="30"/>
          <w:lang w:val="en-US" w:eastAsia="zh-CN"/>
        </w:rPr>
        <w:t xml:space="preserve">  </w:t>
      </w:r>
      <w:r>
        <w:rPr>
          <w:rFonts w:hint="eastAsia"/>
          <w:b/>
          <w:sz w:val="30"/>
          <w:szCs w:val="30"/>
          <w:lang w:eastAsia="zh-CN"/>
        </w:rPr>
        <w:t>录</w:t>
      </w:r>
    </w:p>
    <w:p>
      <w:pPr>
        <w:numPr>
          <w:ilvl w:val="0"/>
          <w:numId w:val="2"/>
        </w:numPr>
        <w:ind w:firstLine="482" w:firstLineChars="200"/>
        <w:rPr>
          <w:rFonts w:hint="eastAsia"/>
          <w:b/>
          <w:sz w:val="24"/>
          <w:szCs w:val="24"/>
        </w:rPr>
      </w:pPr>
      <w:r>
        <w:rPr>
          <w:rFonts w:hint="eastAsia"/>
          <w:b/>
          <w:sz w:val="24"/>
          <w:szCs w:val="24"/>
        </w:rPr>
        <w:t>基本情况</w:t>
      </w:r>
    </w:p>
    <w:p>
      <w:pPr>
        <w:numPr>
          <w:ilvl w:val="0"/>
          <w:numId w:val="0"/>
        </w:numPr>
        <w:ind w:firstLine="480" w:firstLineChars="200"/>
        <w:rPr>
          <w:rFonts w:hint="eastAsia" w:ascii="仿宋_GB2312"/>
          <w:b w:val="0"/>
          <w:bCs/>
          <w:sz w:val="24"/>
          <w:szCs w:val="24"/>
          <w:lang w:val="zh-CN"/>
        </w:rPr>
      </w:pPr>
      <w:r>
        <w:rPr>
          <w:rFonts w:hint="eastAsia"/>
          <w:b w:val="0"/>
          <w:bCs w:val="0"/>
          <w:sz w:val="24"/>
          <w:szCs w:val="24"/>
        </w:rPr>
        <w:t>(一)</w:t>
      </w:r>
      <w:r>
        <w:rPr>
          <w:rFonts w:hint="eastAsia" w:ascii="仿宋_GB2312"/>
          <w:b w:val="0"/>
          <w:bCs/>
          <w:sz w:val="24"/>
          <w:szCs w:val="24"/>
          <w:lang w:val="zh-CN"/>
        </w:rPr>
        <w:t>单位基本情况</w:t>
      </w:r>
    </w:p>
    <w:p>
      <w:pPr>
        <w:ind w:firstLine="480" w:firstLineChars="200"/>
        <w:rPr>
          <w:rFonts w:hint="eastAsia"/>
          <w:b w:val="0"/>
          <w:bCs/>
          <w:sz w:val="24"/>
          <w:szCs w:val="24"/>
          <w:lang w:val="en-US" w:eastAsia="zh-CN"/>
        </w:rPr>
      </w:pPr>
      <w:r>
        <w:rPr>
          <w:rFonts w:hint="eastAsia"/>
          <w:b w:val="0"/>
          <w:bCs w:val="0"/>
          <w:sz w:val="24"/>
          <w:szCs w:val="24"/>
        </w:rPr>
        <w:t>(</w:t>
      </w:r>
      <w:r>
        <w:rPr>
          <w:rFonts w:hint="eastAsia"/>
          <w:b w:val="0"/>
          <w:bCs w:val="0"/>
          <w:sz w:val="24"/>
          <w:szCs w:val="24"/>
          <w:lang w:val="en-US" w:eastAsia="zh-CN"/>
        </w:rPr>
        <w:t>二</w:t>
      </w:r>
      <w:r>
        <w:rPr>
          <w:rFonts w:hint="eastAsia"/>
          <w:b w:val="0"/>
          <w:bCs w:val="0"/>
          <w:sz w:val="24"/>
          <w:szCs w:val="24"/>
        </w:rPr>
        <w:t>)</w:t>
      </w:r>
      <w:r>
        <w:rPr>
          <w:rFonts w:hint="eastAsia"/>
          <w:b w:val="0"/>
          <w:bCs/>
          <w:sz w:val="24"/>
          <w:szCs w:val="24"/>
        </w:rPr>
        <w:t>主要职能</w:t>
      </w:r>
      <w:r>
        <w:rPr>
          <w:rFonts w:hint="eastAsia"/>
          <w:b w:val="0"/>
          <w:bCs/>
          <w:sz w:val="24"/>
          <w:szCs w:val="24"/>
          <w:lang w:eastAsia="zh-CN"/>
        </w:rPr>
        <w:t>职责</w:t>
      </w:r>
    </w:p>
    <w:p>
      <w:pPr>
        <w:ind w:firstLine="480" w:firstLineChars="200"/>
        <w:rPr>
          <w:rFonts w:hint="eastAsia" w:ascii="宋体" w:hAnsi="宋体" w:cs="宋体"/>
          <w:b w:val="0"/>
          <w:bCs/>
          <w:sz w:val="24"/>
          <w:szCs w:val="24"/>
        </w:rPr>
      </w:pPr>
      <w:r>
        <w:rPr>
          <w:rFonts w:hint="eastAsia"/>
          <w:b w:val="0"/>
          <w:bCs w:val="0"/>
          <w:sz w:val="24"/>
          <w:szCs w:val="24"/>
        </w:rPr>
        <w:t>(</w:t>
      </w:r>
      <w:r>
        <w:rPr>
          <w:rFonts w:hint="eastAsia"/>
          <w:b w:val="0"/>
          <w:bCs w:val="0"/>
          <w:sz w:val="24"/>
          <w:szCs w:val="24"/>
          <w:lang w:val="en-US" w:eastAsia="zh-CN"/>
        </w:rPr>
        <w:t>三</w:t>
      </w:r>
      <w:r>
        <w:rPr>
          <w:rFonts w:hint="eastAsia"/>
          <w:b w:val="0"/>
          <w:bCs w:val="0"/>
          <w:sz w:val="24"/>
          <w:szCs w:val="24"/>
          <w:highlight w:val="none"/>
        </w:rPr>
        <w:t>)</w:t>
      </w:r>
      <w:r>
        <w:rPr>
          <w:rFonts w:hint="eastAsia" w:ascii="宋体" w:hAnsi="宋体" w:cs="宋体"/>
          <w:b w:val="0"/>
          <w:bCs/>
          <w:sz w:val="24"/>
          <w:szCs w:val="24"/>
          <w:highlight w:val="none"/>
          <w:lang w:val="en-US" w:eastAsia="zh-CN"/>
        </w:rPr>
        <w:t>2020年重点</w:t>
      </w:r>
      <w:r>
        <w:rPr>
          <w:rFonts w:hint="eastAsia" w:ascii="宋体" w:hAnsi="宋体" w:cs="宋体"/>
          <w:b w:val="0"/>
          <w:bCs/>
          <w:sz w:val="24"/>
          <w:szCs w:val="24"/>
          <w:highlight w:val="none"/>
        </w:rPr>
        <w:t>工作目标</w:t>
      </w:r>
    </w:p>
    <w:p>
      <w:pPr>
        <w:numPr>
          <w:ilvl w:val="0"/>
          <w:numId w:val="0"/>
        </w:numPr>
        <w:ind w:firstLine="720" w:firstLineChars="3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1.总体目标</w:t>
      </w:r>
    </w:p>
    <w:p>
      <w:pPr>
        <w:numPr>
          <w:ilvl w:val="0"/>
          <w:numId w:val="0"/>
        </w:numPr>
        <w:ind w:firstLine="720" w:firstLineChars="3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t>具体目标任务</w:t>
      </w:r>
    </w:p>
    <w:p>
      <w:pPr>
        <w:ind w:firstLine="480" w:firstLineChars="200"/>
        <w:rPr>
          <w:rFonts w:hint="eastAsia" w:ascii="宋体" w:hAnsi="宋体" w:eastAsia="宋体" w:cs="宋体"/>
          <w:b w:val="0"/>
          <w:bCs/>
          <w:color w:val="auto"/>
          <w:sz w:val="24"/>
          <w:szCs w:val="24"/>
          <w:highlight w:val="none"/>
          <w:lang w:eastAsia="zh-CN"/>
        </w:rPr>
      </w:pPr>
      <w:r>
        <w:rPr>
          <w:rFonts w:hint="eastAsia"/>
          <w:b w:val="0"/>
          <w:bCs w:val="0"/>
          <w:color w:val="auto"/>
          <w:sz w:val="24"/>
          <w:szCs w:val="24"/>
          <w:highlight w:val="none"/>
        </w:rPr>
        <w:t>(</w:t>
      </w:r>
      <w:r>
        <w:rPr>
          <w:rFonts w:hint="eastAsia"/>
          <w:b w:val="0"/>
          <w:bCs w:val="0"/>
          <w:color w:val="auto"/>
          <w:sz w:val="24"/>
          <w:szCs w:val="24"/>
          <w:highlight w:val="none"/>
          <w:lang w:val="en-US" w:eastAsia="zh-CN"/>
        </w:rPr>
        <w:t>四</w:t>
      </w:r>
      <w:r>
        <w:rPr>
          <w:rFonts w:hint="eastAsia"/>
          <w:b w:val="0"/>
          <w:bCs w:val="0"/>
          <w:color w:val="auto"/>
          <w:sz w:val="24"/>
          <w:szCs w:val="24"/>
          <w:highlight w:val="none"/>
        </w:rPr>
        <w:t>)</w:t>
      </w:r>
      <w:r>
        <w:rPr>
          <w:rFonts w:hint="eastAsia" w:ascii="宋体" w:hAnsi="宋体" w:cs="宋体"/>
          <w:b w:val="0"/>
          <w:bCs/>
          <w:color w:val="auto"/>
          <w:sz w:val="24"/>
          <w:szCs w:val="24"/>
          <w:highlight w:val="none"/>
        </w:rPr>
        <w:t>部门整体</w:t>
      </w:r>
      <w:r>
        <w:rPr>
          <w:rFonts w:hint="eastAsia" w:ascii="宋体" w:hAnsi="宋体" w:cs="宋体"/>
          <w:b w:val="0"/>
          <w:bCs/>
          <w:color w:val="auto"/>
          <w:sz w:val="24"/>
          <w:szCs w:val="24"/>
          <w:highlight w:val="none"/>
          <w:lang w:eastAsia="zh-CN"/>
        </w:rPr>
        <w:t>收</w:t>
      </w:r>
      <w:r>
        <w:rPr>
          <w:rFonts w:hint="eastAsia" w:ascii="宋体" w:hAnsi="宋体" w:cs="宋体"/>
          <w:b w:val="0"/>
          <w:bCs/>
          <w:color w:val="auto"/>
          <w:sz w:val="24"/>
          <w:szCs w:val="24"/>
          <w:highlight w:val="none"/>
        </w:rPr>
        <w:t>支情况</w:t>
      </w:r>
      <w:r>
        <w:rPr>
          <w:rFonts w:hint="eastAsia" w:ascii="宋体" w:hAnsi="宋体" w:cs="宋体"/>
          <w:b w:val="0"/>
          <w:bCs/>
          <w:color w:val="auto"/>
          <w:sz w:val="24"/>
          <w:szCs w:val="24"/>
          <w:highlight w:val="none"/>
          <w:lang w:val="en-US" w:eastAsia="zh-CN"/>
        </w:rPr>
        <w:t xml:space="preserve"> </w:t>
      </w:r>
    </w:p>
    <w:p>
      <w:pPr>
        <w:numPr>
          <w:ilvl w:val="0"/>
          <w:numId w:val="0"/>
        </w:numPr>
        <w:ind w:firstLine="720" w:firstLineChars="3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1.收入情况</w:t>
      </w:r>
      <w:r>
        <w:rPr>
          <w:rFonts w:hint="eastAsia" w:ascii="宋体" w:hAnsi="宋体" w:cs="宋体"/>
          <w:b w:val="0"/>
          <w:bCs/>
          <w:color w:val="auto"/>
          <w:sz w:val="24"/>
          <w:szCs w:val="24"/>
          <w:highlight w:val="none"/>
          <w:lang w:val="en-US" w:eastAsia="zh-CN"/>
        </w:rPr>
        <w:t xml:space="preserve"> </w:t>
      </w:r>
    </w:p>
    <w:p>
      <w:pPr>
        <w:numPr>
          <w:ilvl w:val="0"/>
          <w:numId w:val="0"/>
        </w:numPr>
        <w:ind w:firstLine="720" w:firstLineChars="3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支出</w:t>
      </w:r>
      <w:r>
        <w:rPr>
          <w:rFonts w:hint="eastAsia" w:ascii="宋体" w:hAnsi="宋体" w:eastAsia="宋体" w:cs="宋体"/>
          <w:b w:val="0"/>
          <w:bCs w:val="0"/>
          <w:color w:val="auto"/>
          <w:sz w:val="24"/>
          <w:szCs w:val="24"/>
          <w:highlight w:val="none"/>
          <w:lang w:eastAsia="zh-CN"/>
        </w:rPr>
        <w:t>情况</w:t>
      </w:r>
    </w:p>
    <w:p>
      <w:pPr>
        <w:numPr>
          <w:ilvl w:val="0"/>
          <w:numId w:val="0"/>
        </w:numPr>
        <w:ind w:firstLine="720" w:firstLineChars="300"/>
        <w:rPr>
          <w:rFonts w:hint="eastAsia" w:eastAsia="宋体"/>
          <w:b/>
          <w:bCs/>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              </w:t>
      </w:r>
    </w:p>
    <w:p>
      <w:pPr>
        <w:ind w:firstLine="482" w:firstLineChars="200"/>
        <w:rPr>
          <w:rFonts w:hint="eastAsia"/>
          <w:b/>
          <w:bCs/>
          <w:sz w:val="24"/>
          <w:szCs w:val="24"/>
        </w:rPr>
      </w:pPr>
      <w:r>
        <w:rPr>
          <w:rFonts w:hint="eastAsia"/>
          <w:b/>
          <w:bCs/>
          <w:sz w:val="24"/>
          <w:szCs w:val="24"/>
        </w:rPr>
        <w:t>二、绩效评价工作情况</w:t>
      </w:r>
    </w:p>
    <w:p>
      <w:pPr>
        <w:ind w:firstLine="480" w:firstLineChars="200"/>
        <w:rPr>
          <w:rFonts w:hint="eastAsia" w:ascii="宋体" w:hAnsi="宋体" w:eastAsia="宋体" w:cs="宋体"/>
          <w:b w:val="0"/>
          <w:bCs w:val="0"/>
          <w:sz w:val="24"/>
          <w:szCs w:val="24"/>
          <w:highlight w:val="none"/>
          <w:lang w:val="en-US" w:eastAsia="zh-CN"/>
        </w:rPr>
      </w:pPr>
      <w:r>
        <w:rPr>
          <w:rFonts w:hint="eastAsia"/>
          <w:b w:val="0"/>
          <w:bCs w:val="0"/>
          <w:sz w:val="24"/>
          <w:szCs w:val="24"/>
          <w:highlight w:val="none"/>
        </w:rPr>
        <w:t>(一)部门整体支出绩效评价依据</w:t>
      </w:r>
      <w:r>
        <w:rPr>
          <w:rFonts w:hint="eastAsia" w:ascii="宋体" w:hAnsi="宋体" w:eastAsia="宋体" w:cs="宋体"/>
          <w:b w:val="0"/>
          <w:bCs w:val="0"/>
          <w:sz w:val="24"/>
          <w:szCs w:val="24"/>
          <w:highlight w:val="none"/>
        </w:rPr>
        <w:t xml:space="preserve"> </w:t>
      </w:r>
    </w:p>
    <w:p>
      <w:pPr>
        <w:ind w:firstLine="480" w:firstLineChars="200"/>
        <w:rPr>
          <w:rFonts w:hint="eastAsia" w:eastAsia="宋体"/>
          <w:b w:val="0"/>
          <w:bCs w:val="0"/>
          <w:sz w:val="24"/>
          <w:szCs w:val="24"/>
          <w:highlight w:val="none"/>
          <w:lang w:eastAsia="zh-CN"/>
        </w:rPr>
      </w:pPr>
      <w:r>
        <w:rPr>
          <w:rFonts w:hint="eastAsia"/>
          <w:b w:val="0"/>
          <w:bCs w:val="0"/>
          <w:sz w:val="24"/>
          <w:szCs w:val="24"/>
          <w:highlight w:val="none"/>
        </w:rPr>
        <w:t xml:space="preserve">(二)部门整体支出绩效评价目的  </w:t>
      </w:r>
    </w:p>
    <w:p>
      <w:pPr>
        <w:ind w:firstLine="480" w:firstLineChars="200"/>
        <w:rPr>
          <w:rFonts w:hint="eastAsia"/>
          <w:b w:val="0"/>
          <w:bCs w:val="0"/>
          <w:sz w:val="24"/>
          <w:szCs w:val="24"/>
          <w:highlight w:val="none"/>
        </w:rPr>
      </w:pPr>
      <w:r>
        <w:rPr>
          <w:rFonts w:hint="eastAsia"/>
          <w:b w:val="0"/>
          <w:bCs w:val="0"/>
          <w:sz w:val="24"/>
          <w:szCs w:val="24"/>
          <w:highlight w:val="none"/>
        </w:rPr>
        <w:t>(三)部门整体支出评价原则、指标评价体系、评价方法</w:t>
      </w:r>
    </w:p>
    <w:p>
      <w:pPr>
        <w:ind w:firstLine="480" w:firstLineChars="200"/>
        <w:rPr>
          <w:rFonts w:hint="eastAsia"/>
          <w:b w:val="0"/>
          <w:bCs w:val="0"/>
          <w:sz w:val="24"/>
          <w:szCs w:val="24"/>
          <w:highlight w:val="none"/>
        </w:rPr>
      </w:pPr>
      <w:r>
        <w:rPr>
          <w:rFonts w:hint="eastAsia"/>
          <w:b w:val="0"/>
          <w:bCs w:val="0"/>
          <w:sz w:val="24"/>
          <w:szCs w:val="24"/>
          <w:highlight w:val="none"/>
        </w:rPr>
        <w:t>(四)整体支出绩效评价过程</w:t>
      </w:r>
    </w:p>
    <w:p>
      <w:pPr>
        <w:ind w:firstLine="720" w:firstLineChars="3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t>前期准备</w:t>
      </w:r>
    </w:p>
    <w:p>
      <w:pPr>
        <w:numPr>
          <w:ilvl w:val="0"/>
          <w:numId w:val="0"/>
        </w:numPr>
        <w:ind w:firstLine="720" w:firstLineChars="3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t>组织实施</w:t>
      </w:r>
    </w:p>
    <w:p>
      <w:pPr>
        <w:ind w:firstLine="720" w:firstLineChars="3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分析评价</w:t>
      </w:r>
    </w:p>
    <w:p>
      <w:pPr>
        <w:pStyle w:val="2"/>
        <w:rPr>
          <w:rFonts w:hint="eastAsia"/>
          <w:highlight w:val="none"/>
        </w:rPr>
      </w:pPr>
    </w:p>
    <w:p>
      <w:pPr>
        <w:ind w:firstLine="482" w:firstLineChars="200"/>
        <w:rPr>
          <w:rFonts w:hint="eastAsia"/>
          <w:b/>
          <w:bCs/>
          <w:sz w:val="24"/>
          <w:szCs w:val="24"/>
          <w:highlight w:val="none"/>
        </w:rPr>
      </w:pPr>
      <w:r>
        <w:rPr>
          <w:rFonts w:hint="eastAsia"/>
          <w:b/>
          <w:bCs/>
          <w:sz w:val="24"/>
          <w:szCs w:val="24"/>
          <w:highlight w:val="none"/>
          <w:lang w:val="en-US" w:eastAsia="zh-CN"/>
        </w:rPr>
        <w:t>三、</w:t>
      </w:r>
      <w:r>
        <w:rPr>
          <w:rFonts w:hint="eastAsia"/>
          <w:b/>
          <w:bCs/>
          <w:sz w:val="24"/>
          <w:szCs w:val="24"/>
          <w:highlight w:val="none"/>
        </w:rPr>
        <w:t>部门整体支出和管理情况分析</w:t>
      </w:r>
    </w:p>
    <w:p>
      <w:pPr>
        <w:ind w:firstLine="480" w:firstLineChars="200"/>
        <w:rPr>
          <w:rFonts w:hint="eastAsia"/>
          <w:b w:val="0"/>
          <w:bCs w:val="0"/>
          <w:sz w:val="24"/>
          <w:szCs w:val="24"/>
          <w:highlight w:val="none"/>
          <w:lang w:eastAsia="zh-CN"/>
        </w:rPr>
      </w:pPr>
      <w:r>
        <w:rPr>
          <w:rFonts w:hint="eastAsia"/>
          <w:b w:val="0"/>
          <w:bCs w:val="0"/>
          <w:sz w:val="24"/>
          <w:szCs w:val="24"/>
          <w:highlight w:val="none"/>
        </w:rPr>
        <w:t>(一)</w:t>
      </w:r>
      <w:r>
        <w:rPr>
          <w:rFonts w:hint="eastAsia"/>
          <w:b w:val="0"/>
          <w:bCs w:val="0"/>
          <w:sz w:val="24"/>
          <w:szCs w:val="24"/>
          <w:highlight w:val="none"/>
          <w:lang w:eastAsia="zh-CN"/>
        </w:rPr>
        <w:t>部门</w:t>
      </w:r>
      <w:r>
        <w:rPr>
          <w:rFonts w:hint="eastAsia"/>
          <w:b w:val="0"/>
          <w:bCs w:val="0"/>
          <w:sz w:val="24"/>
          <w:szCs w:val="24"/>
          <w:highlight w:val="none"/>
        </w:rPr>
        <w:t>整体支出</w:t>
      </w:r>
      <w:r>
        <w:rPr>
          <w:rFonts w:hint="eastAsia"/>
          <w:b w:val="0"/>
          <w:bCs w:val="0"/>
          <w:sz w:val="24"/>
          <w:szCs w:val="24"/>
          <w:highlight w:val="none"/>
          <w:lang w:eastAsia="zh-CN"/>
        </w:rPr>
        <w:t>结构分析</w:t>
      </w:r>
    </w:p>
    <w:p>
      <w:pPr>
        <w:ind w:firstLine="480" w:firstLineChars="200"/>
        <w:rPr>
          <w:rFonts w:hint="eastAsia"/>
          <w:b w:val="0"/>
          <w:bCs w:val="0"/>
          <w:sz w:val="24"/>
          <w:szCs w:val="24"/>
          <w:highlight w:val="none"/>
          <w:lang w:val="en-US" w:eastAsia="zh-CN"/>
        </w:rPr>
      </w:pPr>
      <w:r>
        <w:rPr>
          <w:rFonts w:hint="eastAsia"/>
          <w:b w:val="0"/>
          <w:bCs w:val="0"/>
          <w:sz w:val="24"/>
          <w:szCs w:val="24"/>
          <w:highlight w:val="none"/>
        </w:rPr>
        <w:t>(</w:t>
      </w:r>
      <w:r>
        <w:rPr>
          <w:rFonts w:hint="eastAsia"/>
          <w:b w:val="0"/>
          <w:bCs w:val="0"/>
          <w:sz w:val="24"/>
          <w:szCs w:val="24"/>
          <w:highlight w:val="none"/>
          <w:lang w:val="en-US" w:eastAsia="zh-CN"/>
        </w:rPr>
        <w:t>二</w:t>
      </w:r>
      <w:r>
        <w:rPr>
          <w:rFonts w:hint="eastAsia"/>
          <w:b w:val="0"/>
          <w:bCs w:val="0"/>
          <w:sz w:val="24"/>
          <w:szCs w:val="24"/>
          <w:highlight w:val="none"/>
        </w:rPr>
        <w:t>)</w:t>
      </w:r>
      <w:r>
        <w:rPr>
          <w:rFonts w:hint="eastAsia"/>
          <w:b w:val="0"/>
          <w:bCs w:val="0"/>
          <w:sz w:val="24"/>
          <w:szCs w:val="24"/>
          <w:highlight w:val="none"/>
          <w:lang w:val="en-US" w:eastAsia="zh-CN"/>
        </w:rPr>
        <w:t>基本支出标准及测算分析</w:t>
      </w:r>
    </w:p>
    <w:p>
      <w:pPr>
        <w:ind w:firstLine="480" w:firstLineChars="200"/>
        <w:rPr>
          <w:rFonts w:hint="eastAsia"/>
          <w:b w:val="0"/>
          <w:bCs w:val="0"/>
          <w:sz w:val="24"/>
          <w:szCs w:val="24"/>
          <w:highlight w:val="none"/>
          <w:lang w:val="en-US" w:eastAsia="zh-CN"/>
        </w:rPr>
      </w:pPr>
      <w:r>
        <w:rPr>
          <w:rFonts w:hint="eastAsia"/>
          <w:b w:val="0"/>
          <w:bCs w:val="0"/>
          <w:sz w:val="24"/>
          <w:szCs w:val="24"/>
          <w:highlight w:val="none"/>
        </w:rPr>
        <w:t>(</w:t>
      </w:r>
      <w:r>
        <w:rPr>
          <w:rFonts w:hint="eastAsia"/>
          <w:b w:val="0"/>
          <w:bCs w:val="0"/>
          <w:sz w:val="24"/>
          <w:szCs w:val="24"/>
          <w:highlight w:val="none"/>
          <w:lang w:val="en-US" w:eastAsia="zh-CN"/>
        </w:rPr>
        <w:t>三</w:t>
      </w:r>
      <w:r>
        <w:rPr>
          <w:rFonts w:hint="eastAsia"/>
          <w:b w:val="0"/>
          <w:bCs w:val="0"/>
          <w:sz w:val="24"/>
          <w:szCs w:val="24"/>
          <w:highlight w:val="none"/>
        </w:rPr>
        <w:t>)</w:t>
      </w:r>
      <w:r>
        <w:rPr>
          <w:rFonts w:hint="eastAsia"/>
          <w:b w:val="0"/>
          <w:bCs w:val="0"/>
          <w:sz w:val="24"/>
          <w:szCs w:val="24"/>
          <w:highlight w:val="none"/>
          <w:lang w:val="en-US" w:eastAsia="zh-CN"/>
        </w:rPr>
        <w:t>部门整体支出使用情况分析</w:t>
      </w:r>
    </w:p>
    <w:p>
      <w:pPr>
        <w:ind w:firstLine="480" w:firstLineChars="200"/>
        <w:rPr>
          <w:rFonts w:hint="eastAsia"/>
          <w:b w:val="0"/>
          <w:bCs w:val="0"/>
          <w:sz w:val="24"/>
          <w:szCs w:val="24"/>
          <w:highlight w:val="none"/>
        </w:rPr>
      </w:pPr>
      <w:r>
        <w:rPr>
          <w:rFonts w:hint="eastAsia"/>
          <w:b w:val="0"/>
          <w:bCs w:val="0"/>
          <w:sz w:val="24"/>
          <w:szCs w:val="24"/>
          <w:highlight w:val="none"/>
        </w:rPr>
        <w:t>(</w:t>
      </w:r>
      <w:r>
        <w:rPr>
          <w:rFonts w:hint="eastAsia"/>
          <w:b w:val="0"/>
          <w:bCs w:val="0"/>
          <w:sz w:val="24"/>
          <w:szCs w:val="24"/>
          <w:highlight w:val="none"/>
          <w:lang w:val="en-US" w:eastAsia="zh-CN"/>
        </w:rPr>
        <w:t>四</w:t>
      </w:r>
      <w:r>
        <w:rPr>
          <w:rFonts w:hint="eastAsia"/>
          <w:b w:val="0"/>
          <w:bCs w:val="0"/>
          <w:sz w:val="24"/>
          <w:szCs w:val="24"/>
          <w:highlight w:val="none"/>
        </w:rPr>
        <w:t>)部门整体支出管理情况分析</w:t>
      </w:r>
    </w:p>
    <w:p>
      <w:pPr>
        <w:pStyle w:val="2"/>
        <w:rPr>
          <w:rFonts w:hint="eastAsia"/>
        </w:rPr>
      </w:pPr>
    </w:p>
    <w:p>
      <w:pPr>
        <w:ind w:firstLine="482" w:firstLineChars="200"/>
        <w:rPr>
          <w:rFonts w:hint="eastAsia" w:ascii="宋体" w:hAnsi="宋体" w:cs="宋体"/>
          <w:b/>
          <w:bCs/>
          <w:sz w:val="24"/>
          <w:szCs w:val="24"/>
        </w:rPr>
      </w:pPr>
      <w:r>
        <w:rPr>
          <w:rFonts w:hint="eastAsia"/>
          <w:b/>
          <w:bCs/>
          <w:sz w:val="24"/>
          <w:szCs w:val="24"/>
          <w:lang w:val="en-US" w:eastAsia="zh-CN"/>
        </w:rPr>
        <w:t>四、</w:t>
      </w:r>
      <w:r>
        <w:rPr>
          <w:rFonts w:hint="eastAsia" w:ascii="宋体" w:hAnsi="宋体" w:cs="宋体"/>
          <w:b/>
          <w:bCs/>
          <w:sz w:val="24"/>
          <w:szCs w:val="24"/>
        </w:rPr>
        <w:t>整体支出绩效目标实现情况</w:t>
      </w:r>
    </w:p>
    <w:p>
      <w:pPr>
        <w:ind w:firstLine="480" w:firstLineChars="200"/>
        <w:rPr>
          <w:rFonts w:hint="eastAsia"/>
          <w:b w:val="0"/>
          <w:bCs w:val="0"/>
          <w:sz w:val="24"/>
          <w:szCs w:val="24"/>
        </w:rPr>
      </w:pPr>
      <w:r>
        <w:rPr>
          <w:rFonts w:hint="eastAsia"/>
          <w:b w:val="0"/>
          <w:bCs w:val="0"/>
          <w:sz w:val="24"/>
          <w:szCs w:val="24"/>
          <w:highlight w:val="none"/>
        </w:rPr>
        <w:t>(一)</w:t>
      </w:r>
      <w:r>
        <w:rPr>
          <w:rFonts w:hint="eastAsia"/>
          <w:b w:val="0"/>
          <w:bCs w:val="0"/>
          <w:sz w:val="24"/>
          <w:szCs w:val="24"/>
        </w:rPr>
        <w:t>预算配置情况</w:t>
      </w:r>
    </w:p>
    <w:p>
      <w:pPr>
        <w:ind w:firstLine="480" w:firstLineChars="200"/>
        <w:rPr>
          <w:rFonts w:hint="eastAsia"/>
          <w:b w:val="0"/>
          <w:bCs w:val="0"/>
          <w:sz w:val="24"/>
          <w:szCs w:val="24"/>
          <w:lang w:val="en-US" w:eastAsia="zh-CN"/>
        </w:rPr>
      </w:pPr>
      <w:r>
        <w:rPr>
          <w:rFonts w:hint="eastAsia"/>
          <w:b w:val="0"/>
          <w:bCs w:val="0"/>
          <w:sz w:val="24"/>
          <w:szCs w:val="24"/>
          <w:highlight w:val="none"/>
        </w:rPr>
        <w:t>(</w:t>
      </w:r>
      <w:r>
        <w:rPr>
          <w:rFonts w:hint="eastAsia"/>
          <w:b w:val="0"/>
          <w:bCs w:val="0"/>
          <w:sz w:val="24"/>
          <w:szCs w:val="24"/>
          <w:highlight w:val="none"/>
          <w:lang w:val="en-US" w:eastAsia="zh-CN"/>
        </w:rPr>
        <w:t>二</w:t>
      </w:r>
      <w:r>
        <w:rPr>
          <w:rFonts w:hint="eastAsia"/>
          <w:b w:val="0"/>
          <w:bCs w:val="0"/>
          <w:sz w:val="24"/>
          <w:szCs w:val="24"/>
          <w:highlight w:val="none"/>
        </w:rPr>
        <w:t>)</w:t>
      </w:r>
      <w:r>
        <w:rPr>
          <w:rFonts w:hint="eastAsia"/>
          <w:b w:val="0"/>
          <w:bCs w:val="0"/>
          <w:sz w:val="24"/>
          <w:szCs w:val="24"/>
        </w:rPr>
        <w:t>预算执行情况</w:t>
      </w:r>
    </w:p>
    <w:p>
      <w:pPr>
        <w:ind w:firstLine="480" w:firstLineChars="200"/>
        <w:rPr>
          <w:rFonts w:hint="eastAsia"/>
          <w:b w:val="0"/>
          <w:bCs w:val="0"/>
          <w:sz w:val="24"/>
          <w:szCs w:val="24"/>
        </w:rPr>
      </w:pPr>
      <w:r>
        <w:rPr>
          <w:rFonts w:hint="eastAsia"/>
          <w:b w:val="0"/>
          <w:bCs w:val="0"/>
          <w:sz w:val="24"/>
          <w:szCs w:val="24"/>
          <w:highlight w:val="none"/>
        </w:rPr>
        <w:t>(</w:t>
      </w:r>
      <w:r>
        <w:rPr>
          <w:rFonts w:hint="eastAsia"/>
          <w:b w:val="0"/>
          <w:bCs w:val="0"/>
          <w:sz w:val="24"/>
          <w:szCs w:val="24"/>
          <w:highlight w:val="none"/>
          <w:lang w:val="en-US" w:eastAsia="zh-CN"/>
        </w:rPr>
        <w:t>三</w:t>
      </w:r>
      <w:r>
        <w:rPr>
          <w:rFonts w:hint="eastAsia"/>
          <w:b w:val="0"/>
          <w:bCs w:val="0"/>
          <w:sz w:val="24"/>
          <w:szCs w:val="24"/>
          <w:highlight w:val="none"/>
        </w:rPr>
        <w:t>)</w:t>
      </w:r>
      <w:r>
        <w:rPr>
          <w:rFonts w:hint="eastAsia"/>
          <w:b w:val="0"/>
          <w:bCs w:val="0"/>
          <w:sz w:val="24"/>
          <w:szCs w:val="24"/>
        </w:rPr>
        <w:t>预算管理情况</w:t>
      </w:r>
    </w:p>
    <w:p>
      <w:pPr>
        <w:numPr>
          <w:ilvl w:val="0"/>
          <w:numId w:val="0"/>
        </w:numPr>
        <w:ind w:firstLine="480" w:firstLineChars="200"/>
        <w:rPr>
          <w:rFonts w:hint="eastAsia" w:ascii="宋体" w:hAnsi="宋体" w:cs="宋体"/>
          <w:b w:val="0"/>
          <w:bCs w:val="0"/>
          <w:color w:val="1F497D"/>
          <w:sz w:val="24"/>
          <w:szCs w:val="24"/>
          <w:highlight w:val="none"/>
        </w:rPr>
      </w:pPr>
      <w:r>
        <w:rPr>
          <w:rFonts w:hint="eastAsia"/>
          <w:b w:val="0"/>
          <w:bCs w:val="0"/>
          <w:sz w:val="24"/>
          <w:szCs w:val="24"/>
          <w:highlight w:val="none"/>
        </w:rPr>
        <w:t>(</w:t>
      </w:r>
      <w:r>
        <w:rPr>
          <w:rFonts w:hint="eastAsia"/>
          <w:b w:val="0"/>
          <w:bCs w:val="0"/>
          <w:sz w:val="24"/>
          <w:szCs w:val="24"/>
          <w:highlight w:val="none"/>
          <w:lang w:val="en-US" w:eastAsia="zh-CN"/>
        </w:rPr>
        <w:t>四</w:t>
      </w:r>
      <w:r>
        <w:rPr>
          <w:rFonts w:hint="eastAsia"/>
          <w:b w:val="0"/>
          <w:bCs w:val="0"/>
          <w:sz w:val="24"/>
          <w:szCs w:val="24"/>
          <w:highlight w:val="none"/>
        </w:rPr>
        <w:t>)</w:t>
      </w:r>
      <w:r>
        <w:rPr>
          <w:rFonts w:hint="eastAsia" w:ascii="宋体" w:hAnsi="宋体" w:eastAsia="宋体" w:cs="宋体"/>
          <w:b w:val="0"/>
          <w:bCs w:val="0"/>
          <w:color w:val="auto"/>
          <w:sz w:val="24"/>
          <w:szCs w:val="24"/>
          <w:highlight w:val="none"/>
        </w:rPr>
        <w:t>固定资产购置及管理情况</w:t>
      </w:r>
    </w:p>
    <w:p>
      <w:pPr>
        <w:ind w:firstLine="720" w:firstLineChars="300"/>
        <w:rPr>
          <w:rFonts w:hint="eastAsia"/>
          <w:b w:val="0"/>
          <w:bCs w:val="0"/>
          <w:sz w:val="24"/>
          <w:szCs w:val="24"/>
          <w:highlight w:val="none"/>
          <w:lang w:val="en-US" w:eastAsia="zh-CN"/>
        </w:rPr>
      </w:pPr>
      <w:r>
        <w:rPr>
          <w:rFonts w:hint="eastAsia"/>
          <w:b w:val="0"/>
          <w:bCs w:val="0"/>
          <w:sz w:val="24"/>
          <w:szCs w:val="24"/>
          <w:highlight w:val="none"/>
          <w:lang w:val="en-US" w:eastAsia="zh-CN"/>
        </w:rPr>
        <w:t>1.资产情况</w:t>
      </w:r>
    </w:p>
    <w:p>
      <w:pPr>
        <w:ind w:firstLine="720" w:firstLineChars="300"/>
        <w:rPr>
          <w:rFonts w:hint="eastAsia"/>
          <w:b w:val="0"/>
          <w:bCs w:val="0"/>
          <w:sz w:val="24"/>
          <w:szCs w:val="24"/>
          <w:highlight w:val="none"/>
          <w:lang w:val="en-US" w:eastAsia="zh-CN"/>
        </w:rPr>
      </w:pPr>
      <w:r>
        <w:rPr>
          <w:rFonts w:hint="eastAsia"/>
          <w:b w:val="0"/>
          <w:bCs w:val="0"/>
          <w:sz w:val="24"/>
          <w:szCs w:val="24"/>
          <w:highlight w:val="none"/>
          <w:lang w:val="en-US" w:eastAsia="zh-CN"/>
        </w:rPr>
        <w:t>2.2020年新增资产情况</w:t>
      </w:r>
    </w:p>
    <w:p>
      <w:pPr>
        <w:ind w:firstLine="480" w:firstLineChars="200"/>
        <w:rPr>
          <w:rFonts w:hint="eastAsia"/>
          <w:b w:val="0"/>
          <w:bCs w:val="0"/>
          <w:sz w:val="24"/>
          <w:szCs w:val="24"/>
          <w:highlight w:val="none"/>
        </w:rPr>
      </w:pPr>
      <w:r>
        <w:rPr>
          <w:rFonts w:hint="eastAsia"/>
          <w:b w:val="0"/>
          <w:bCs w:val="0"/>
          <w:sz w:val="24"/>
          <w:szCs w:val="24"/>
          <w:highlight w:val="none"/>
        </w:rPr>
        <w:t>(</w:t>
      </w:r>
      <w:r>
        <w:rPr>
          <w:rFonts w:hint="eastAsia"/>
          <w:b w:val="0"/>
          <w:bCs w:val="0"/>
          <w:sz w:val="24"/>
          <w:szCs w:val="24"/>
          <w:highlight w:val="none"/>
          <w:lang w:val="en-US" w:eastAsia="zh-CN"/>
        </w:rPr>
        <w:t>五</w:t>
      </w:r>
      <w:r>
        <w:rPr>
          <w:rFonts w:hint="eastAsia"/>
          <w:b w:val="0"/>
          <w:bCs w:val="0"/>
          <w:sz w:val="24"/>
          <w:szCs w:val="24"/>
          <w:highlight w:val="none"/>
        </w:rPr>
        <w:t>)职责履行情况</w:t>
      </w:r>
    </w:p>
    <w:p>
      <w:pPr>
        <w:ind w:firstLine="720" w:firstLineChars="300"/>
        <w:rPr>
          <w:rFonts w:hint="eastAsia"/>
          <w:b w:val="0"/>
          <w:bCs w:val="0"/>
          <w:sz w:val="24"/>
          <w:szCs w:val="24"/>
          <w:highlight w:val="none"/>
          <w:lang w:val="en-US" w:eastAsia="zh-CN"/>
        </w:rPr>
      </w:pPr>
      <w:r>
        <w:rPr>
          <w:rFonts w:hint="eastAsia"/>
          <w:b w:val="0"/>
          <w:bCs w:val="0"/>
          <w:sz w:val="24"/>
          <w:szCs w:val="24"/>
          <w:highlight w:val="none"/>
          <w:lang w:val="en-US" w:eastAsia="zh-CN"/>
        </w:rPr>
        <w:t>1.目标任务（产出）完成情况</w:t>
      </w:r>
    </w:p>
    <w:p>
      <w:pPr>
        <w:ind w:firstLine="720" w:firstLineChars="300"/>
        <w:rPr>
          <w:rFonts w:hint="eastAsia"/>
          <w:b w:val="0"/>
          <w:bCs w:val="0"/>
          <w:sz w:val="24"/>
          <w:szCs w:val="24"/>
          <w:highlight w:val="none"/>
          <w:lang w:val="en-US" w:eastAsia="zh-CN"/>
        </w:rPr>
      </w:pPr>
      <w:r>
        <w:rPr>
          <w:rFonts w:hint="eastAsia"/>
          <w:b w:val="0"/>
          <w:bCs w:val="0"/>
          <w:sz w:val="24"/>
          <w:szCs w:val="24"/>
          <w:highlight w:val="none"/>
          <w:lang w:val="en-US" w:eastAsia="zh-CN"/>
        </w:rPr>
        <w:t>2.完成质量、时效及效果</w:t>
      </w:r>
    </w:p>
    <w:p>
      <w:pPr>
        <w:ind w:firstLine="720" w:firstLineChars="300"/>
        <w:rPr>
          <w:rFonts w:hint="eastAsia"/>
          <w:b w:val="0"/>
          <w:bCs w:val="0"/>
          <w:sz w:val="24"/>
          <w:szCs w:val="24"/>
          <w:highlight w:val="none"/>
          <w:lang w:val="en-US" w:eastAsia="zh-CN"/>
        </w:rPr>
      </w:pPr>
      <w:r>
        <w:rPr>
          <w:rFonts w:hint="eastAsia"/>
          <w:b w:val="0"/>
          <w:bCs w:val="0"/>
          <w:sz w:val="24"/>
          <w:szCs w:val="24"/>
          <w:highlight w:val="none"/>
          <w:lang w:val="en-US" w:eastAsia="zh-CN"/>
        </w:rPr>
        <w:t>3.成本控制</w:t>
      </w:r>
    </w:p>
    <w:p>
      <w:pPr>
        <w:ind w:firstLine="482" w:firstLineChars="200"/>
        <w:rPr>
          <w:rFonts w:hint="eastAsia" w:ascii="宋体" w:hAnsi="宋体" w:cs="宋体"/>
          <w:b/>
          <w:bCs/>
          <w:color w:val="auto"/>
          <w:sz w:val="24"/>
          <w:szCs w:val="24"/>
        </w:rPr>
      </w:pPr>
      <w:r>
        <w:rPr>
          <w:rFonts w:hint="eastAsia"/>
          <w:b/>
          <w:bCs/>
          <w:sz w:val="24"/>
          <w:szCs w:val="24"/>
          <w:lang w:val="en-US" w:eastAsia="zh-CN"/>
        </w:rPr>
        <w:t>五、</w:t>
      </w:r>
      <w:r>
        <w:rPr>
          <w:rFonts w:hint="eastAsia" w:ascii="宋体" w:hAnsi="宋体" w:cs="宋体"/>
          <w:b/>
          <w:bCs/>
          <w:sz w:val="24"/>
          <w:szCs w:val="24"/>
        </w:rPr>
        <w:t xml:space="preserve">主要绩效和评价结论 </w:t>
      </w:r>
    </w:p>
    <w:p>
      <w:pPr>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lang w:val="en-US" w:eastAsia="zh-CN"/>
        </w:rPr>
        <w:t>六</w:t>
      </w:r>
      <w:r>
        <w:rPr>
          <w:rFonts w:hint="eastAsia" w:ascii="宋体" w:hAnsi="宋体" w:cs="宋体"/>
          <w:b/>
          <w:bCs/>
          <w:sz w:val="24"/>
          <w:szCs w:val="24"/>
          <w:highlight w:val="none"/>
        </w:rPr>
        <w:t>、存在的问题</w:t>
      </w:r>
    </w:p>
    <w:p>
      <w:pPr>
        <w:numPr>
          <w:ilvl w:val="0"/>
          <w:numId w:val="0"/>
        </w:numPr>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lang w:val="en-US" w:eastAsia="zh-CN"/>
        </w:rPr>
        <w:t>七</w:t>
      </w:r>
      <w:r>
        <w:rPr>
          <w:rFonts w:hint="eastAsia" w:ascii="宋体" w:hAnsi="宋体" w:cs="宋体"/>
          <w:b/>
          <w:bCs/>
          <w:sz w:val="24"/>
          <w:szCs w:val="24"/>
          <w:highlight w:val="none"/>
          <w:lang w:eastAsia="zh-CN"/>
        </w:rPr>
        <w:t>、</w:t>
      </w:r>
      <w:r>
        <w:rPr>
          <w:rFonts w:hint="eastAsia" w:ascii="宋体" w:hAnsi="宋体" w:cs="宋体"/>
          <w:b/>
          <w:bCs/>
          <w:sz w:val="24"/>
          <w:szCs w:val="24"/>
          <w:highlight w:val="none"/>
        </w:rPr>
        <w:t>建议</w:t>
      </w:r>
    </w:p>
    <w:p>
      <w:pPr>
        <w:ind w:firstLine="241" w:firstLineChars="100"/>
        <w:rPr>
          <w:rFonts w:hint="eastAsia" w:ascii="宋体" w:hAnsi="宋体" w:cs="宋体"/>
          <w:b/>
          <w:sz w:val="24"/>
          <w:szCs w:val="24"/>
        </w:rPr>
      </w:pPr>
      <w:r>
        <w:rPr>
          <w:rFonts w:hint="eastAsia" w:ascii="宋体" w:hAnsi="宋体" w:cs="宋体"/>
          <w:b/>
          <w:bCs/>
          <w:sz w:val="24"/>
          <w:szCs w:val="24"/>
        </w:rPr>
        <w:t xml:space="preserve"> </w:t>
      </w:r>
      <w:r>
        <w:rPr>
          <w:rFonts w:hint="eastAsia" w:ascii="宋体" w:hAnsi="宋体" w:cs="宋体"/>
          <w:b/>
          <w:bCs/>
          <w:sz w:val="24"/>
          <w:szCs w:val="24"/>
          <w:lang w:val="en-US" w:eastAsia="zh-CN"/>
        </w:rPr>
        <w:t xml:space="preserve"> 八</w:t>
      </w:r>
      <w:r>
        <w:rPr>
          <w:rFonts w:hint="eastAsia" w:ascii="宋体" w:hAnsi="宋体" w:cs="宋体"/>
          <w:b/>
          <w:bCs/>
          <w:sz w:val="24"/>
          <w:szCs w:val="24"/>
        </w:rPr>
        <w:t>、其他需</w:t>
      </w:r>
      <w:r>
        <w:rPr>
          <w:rFonts w:hint="eastAsia" w:ascii="宋体" w:hAnsi="宋体" w:cs="宋体"/>
          <w:b/>
          <w:sz w:val="24"/>
          <w:szCs w:val="24"/>
        </w:rPr>
        <w:t>要说明的问题</w:t>
      </w:r>
    </w:p>
    <w:p>
      <w:pPr>
        <w:ind w:firstLine="482" w:firstLineChars="200"/>
        <w:rPr>
          <w:rFonts w:hint="default" w:ascii="宋体" w:hAnsi="宋体" w:eastAsia="宋体" w:cs="宋体"/>
          <w:b/>
          <w:sz w:val="24"/>
          <w:szCs w:val="24"/>
          <w:lang w:val="en-US" w:eastAsia="zh-CN"/>
        </w:rPr>
      </w:pPr>
      <w:r>
        <w:rPr>
          <w:rFonts w:hint="eastAsia" w:ascii="宋体" w:hAnsi="宋体" w:cs="宋体"/>
          <w:b/>
          <w:sz w:val="24"/>
          <w:szCs w:val="24"/>
          <w:lang w:val="en-US" w:eastAsia="zh-CN"/>
        </w:rPr>
        <w:t>九、审计说明</w:t>
      </w:r>
    </w:p>
    <w:p>
      <w:pPr>
        <w:widowControl/>
        <w:jc w:val="left"/>
        <w:rPr>
          <w:sz w:val="24"/>
        </w:rPr>
      </w:pPr>
    </w:p>
    <w:p>
      <w:pPr>
        <w:tabs>
          <w:tab w:val="left" w:pos="2835"/>
          <w:tab w:val="left" w:pos="4725"/>
        </w:tabs>
        <w:spacing w:line="940" w:lineRule="exact"/>
        <w:ind w:firstLine="601" w:firstLineChars="100"/>
        <w:outlineLvl w:val="1"/>
        <w:rPr>
          <w:rFonts w:hint="eastAsia" w:ascii="黑体" w:hAnsi="宋体" w:eastAsia="黑体"/>
          <w:spacing w:val="-16"/>
          <w:w w:val="66"/>
          <w:sz w:val="96"/>
          <w:szCs w:val="96"/>
        </w:rPr>
      </w:pPr>
      <w:r>
        <w:rPr>
          <w:rFonts w:hint="eastAsia" w:ascii="黑体" w:hAnsi="宋体" w:eastAsia="黑体"/>
          <w:spacing w:val="-16"/>
          <w:w w:val="66"/>
          <w:sz w:val="96"/>
          <w:szCs w:val="96"/>
        </w:rPr>
        <w:t>湖南恒兴联合会计师事务所</w:t>
      </w:r>
    </w:p>
    <w:p>
      <w:pPr>
        <w:tabs>
          <w:tab w:val="left" w:pos="2835"/>
          <w:tab w:val="left" w:pos="4725"/>
        </w:tabs>
        <w:spacing w:line="760" w:lineRule="exact"/>
        <w:jc w:val="center"/>
        <w:outlineLvl w:val="0"/>
        <w:rPr>
          <w:rFonts w:hint="eastAsia" w:ascii="黑体" w:hAnsi="宋体" w:eastAsia="黑体"/>
          <w:spacing w:val="-16"/>
          <w:w w:val="66"/>
          <w:sz w:val="36"/>
          <w:szCs w:val="36"/>
        </w:rPr>
      </w:pPr>
      <w:r>
        <w:rPr>
          <w:rFonts w:hint="eastAsia" w:ascii="黑体" w:hAnsi="宋体" w:eastAsia="黑体"/>
          <w:sz w:val="36"/>
          <w:szCs w:val="36"/>
        </w:rPr>
        <w:t>HUNAN HENGXING UNITED C.P.A OFFICE</w:t>
      </w:r>
    </w:p>
    <w:p>
      <w:pPr>
        <w:adjustRightInd w:val="0"/>
        <w:snapToGrid w:val="0"/>
        <w:spacing w:line="760" w:lineRule="exact"/>
        <w:jc w:val="center"/>
        <w:outlineLvl w:val="0"/>
        <w:rPr>
          <w:rFonts w:hint="eastAsia" w:ascii="黑体" w:hAnsi="宋体" w:eastAsia="黑体"/>
          <w:b/>
          <w:color w:val="auto"/>
          <w:sz w:val="32"/>
          <w:szCs w:val="32"/>
        </w:rPr>
      </w:pPr>
      <w:r>
        <w:rPr>
          <w:rFonts w:hint="eastAsia" w:ascii="楷体_GB2312" w:hAnsi="宋体" w:eastAsia="楷体_GB2312"/>
          <w:b/>
          <w:color w:val="auto"/>
          <w:spacing w:val="20"/>
          <w:sz w:val="36"/>
          <w:szCs w:val="36"/>
        </w:rPr>
        <w:t>湘恒兴专审字（</w:t>
      </w:r>
      <w:r>
        <w:rPr>
          <w:rFonts w:hint="eastAsia" w:ascii="楷体_GB2312" w:hAnsi="宋体" w:eastAsia="楷体_GB2312"/>
          <w:b/>
          <w:color w:val="auto"/>
          <w:spacing w:val="20"/>
          <w:sz w:val="36"/>
          <w:szCs w:val="36"/>
          <w:highlight w:val="none"/>
        </w:rPr>
        <w:t>20</w:t>
      </w:r>
      <w:r>
        <w:rPr>
          <w:rFonts w:hint="eastAsia" w:ascii="楷体_GB2312" w:hAnsi="宋体" w:eastAsia="楷体_GB2312"/>
          <w:b/>
          <w:color w:val="auto"/>
          <w:spacing w:val="20"/>
          <w:sz w:val="36"/>
          <w:szCs w:val="36"/>
          <w:highlight w:val="none"/>
          <w:lang w:val="en-US" w:eastAsia="zh-CN"/>
        </w:rPr>
        <w:t>21</w:t>
      </w:r>
      <w:r>
        <w:rPr>
          <w:rFonts w:hint="eastAsia" w:ascii="楷体_GB2312" w:hAnsi="宋体" w:eastAsia="楷体_GB2312"/>
          <w:b/>
          <w:color w:val="auto"/>
          <w:spacing w:val="20"/>
          <w:sz w:val="36"/>
          <w:szCs w:val="36"/>
        </w:rPr>
        <w:t>）</w:t>
      </w:r>
      <w:r>
        <w:rPr>
          <w:rFonts w:hint="eastAsia" w:ascii="楷体_GB2312" w:hAnsi="宋体" w:eastAsia="楷体_GB2312"/>
          <w:b/>
          <w:color w:val="auto"/>
          <w:spacing w:val="20"/>
          <w:sz w:val="36"/>
          <w:szCs w:val="36"/>
          <w:lang w:val="en-US" w:eastAsia="zh-CN"/>
        </w:rPr>
        <w:t xml:space="preserve">第  </w:t>
      </w:r>
      <w:r>
        <w:rPr>
          <w:rFonts w:hint="eastAsia" w:ascii="楷体_GB2312" w:hAnsi="宋体" w:eastAsia="楷体_GB2312"/>
          <w:b/>
          <w:color w:val="auto"/>
          <w:spacing w:val="20"/>
          <w:sz w:val="36"/>
          <w:szCs w:val="36"/>
        </w:rPr>
        <w:t>号</w:t>
      </w:r>
      <w:r>
        <w:rPr>
          <w:rFonts w:ascii="宋体" w:hAnsi="宋体"/>
          <w:b/>
          <w:color w:val="auto"/>
          <w:sz w:val="32"/>
          <w:szCs w:val="32"/>
        </w:rPr>
        <mc:AlternateContent>
          <mc:Choice Requires="wps">
            <w:drawing>
              <wp:anchor distT="0" distB="0" distL="114300" distR="114300" simplePos="0" relativeHeight="251659264" behindDoc="0" locked="0" layoutInCell="0" allowOverlap="1">
                <wp:simplePos x="0" y="0"/>
                <wp:positionH relativeFrom="column">
                  <wp:posOffset>66675</wp:posOffset>
                </wp:positionH>
                <wp:positionV relativeFrom="paragraph">
                  <wp:posOffset>43180</wp:posOffset>
                </wp:positionV>
                <wp:extent cx="5400675" cy="0"/>
                <wp:effectExtent l="0" t="0" r="0" b="0"/>
                <wp:wrapTight wrapText="bothSides">
                  <wp:wrapPolygon>
                    <wp:start x="0" y="0"/>
                    <wp:lineTo x="21600" y="0"/>
                    <wp:lineTo x="0" y="0"/>
                  </wp:wrapPolygon>
                </wp:wrapTight>
                <wp:docPr id="1" name="直线 11"/>
                <wp:cNvGraphicFramePr/>
                <a:graphic xmlns:a="http://schemas.openxmlformats.org/drawingml/2006/main">
                  <a:graphicData uri="http://schemas.microsoft.com/office/word/2010/wordprocessingShape">
                    <wps:wsp>
                      <wps:cNvCnPr/>
                      <wps:spPr>
                        <a:xfrm>
                          <a:off x="0" y="0"/>
                          <a:ext cx="54006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5.25pt;margin-top:3.4pt;height:0pt;width:425.25pt;mso-wrap-distance-left:9pt;mso-wrap-distance-right:9pt;z-index:251659264;mso-width-relative:page;mso-height-relative:page;" filled="f" stroked="t" coordsize="21600,21600" wrapcoords="0 0 21600 0 0 0" o:allowincell="f" o:gfxdata="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nhjKbSAAAABgEA&#10;AA8AAAAAAAAAAQAgAAAAIgAAAGRycy9kb3ducmV2LnhtbFBLAQIUABQAAAAIAIdO4kDUiJ0h5wEA&#10;ANwDAAAOAAAAAAAAAAEAIAAAACEBAABkcnMvZTJvRG9jLnhtbFBLBQYAAAAABgAGAFkBAAB6BQAA&#10;AAA=&#10;">
                <v:fill on="f" focussize="0,0"/>
                <v:stroke color="#000000" joinstyle="round"/>
                <v:imagedata o:title=""/>
                <o:lock v:ext="edit" aspectratio="f"/>
                <w10:wrap type="tight"/>
              </v:line>
            </w:pict>
          </mc:Fallback>
        </mc:AlternateContent>
      </w:r>
    </w:p>
    <w:p>
      <w:pPr>
        <w:spacing w:line="760" w:lineRule="exact"/>
        <w:jc w:val="center"/>
        <w:outlineLvl w:val="0"/>
        <w:rPr>
          <w:rFonts w:hint="eastAsia" w:ascii="黑体" w:hAnsi="宋体" w:eastAsia="黑体"/>
          <w:b/>
          <w:sz w:val="32"/>
          <w:szCs w:val="32"/>
        </w:rPr>
      </w:pPr>
      <w:r>
        <w:rPr>
          <w:rFonts w:hint="eastAsia" w:ascii="黑体" w:hAnsi="宋体" w:eastAsia="黑体"/>
          <w:b/>
          <w:color w:val="auto"/>
          <w:sz w:val="32"/>
          <w:szCs w:val="32"/>
          <w:highlight w:val="none"/>
        </w:rPr>
        <w:t>20</w:t>
      </w:r>
      <w:r>
        <w:rPr>
          <w:rFonts w:hint="eastAsia" w:ascii="黑体" w:hAnsi="宋体" w:eastAsia="黑体"/>
          <w:b/>
          <w:color w:val="auto"/>
          <w:sz w:val="32"/>
          <w:szCs w:val="32"/>
          <w:highlight w:val="none"/>
          <w:lang w:val="en-US" w:eastAsia="zh-CN"/>
        </w:rPr>
        <w:t>20</w:t>
      </w:r>
      <w:r>
        <w:rPr>
          <w:rFonts w:hint="eastAsia" w:ascii="黑体" w:hAnsi="宋体" w:eastAsia="黑体"/>
          <w:b/>
          <w:color w:val="auto"/>
          <w:sz w:val="32"/>
          <w:szCs w:val="32"/>
          <w:highlight w:val="none"/>
        </w:rPr>
        <w:t>年</w:t>
      </w:r>
      <w:r>
        <w:rPr>
          <w:rFonts w:hint="eastAsia" w:ascii="黑体" w:hAnsi="宋体" w:eastAsia="黑体"/>
          <w:b/>
          <w:color w:val="auto"/>
          <w:sz w:val="32"/>
          <w:szCs w:val="32"/>
          <w:lang w:eastAsia="zh-CN"/>
        </w:rPr>
        <w:t>度云溪区</w:t>
      </w:r>
      <w:r>
        <w:rPr>
          <w:rFonts w:hint="eastAsia" w:ascii="黑体" w:hAnsi="宋体" w:eastAsia="黑体"/>
          <w:b/>
          <w:color w:val="auto"/>
          <w:sz w:val="32"/>
          <w:szCs w:val="32"/>
          <w:highlight w:val="none"/>
          <w:lang w:val="en-US" w:eastAsia="zh-CN"/>
        </w:rPr>
        <w:t>应急管理局</w:t>
      </w:r>
      <w:r>
        <w:rPr>
          <w:rFonts w:hint="eastAsia" w:ascii="黑体" w:hAnsi="宋体" w:eastAsia="黑体"/>
          <w:b/>
          <w:color w:val="auto"/>
          <w:sz w:val="32"/>
          <w:szCs w:val="32"/>
        </w:rPr>
        <w:t>整</w:t>
      </w:r>
      <w:r>
        <w:rPr>
          <w:rFonts w:hint="eastAsia" w:ascii="黑体" w:hAnsi="宋体" w:eastAsia="黑体"/>
          <w:b/>
          <w:sz w:val="32"/>
          <w:szCs w:val="32"/>
        </w:rPr>
        <w:t>体支出</w:t>
      </w:r>
    </w:p>
    <w:p>
      <w:pPr>
        <w:spacing w:line="760" w:lineRule="exact"/>
        <w:jc w:val="center"/>
        <w:outlineLvl w:val="0"/>
        <w:rPr>
          <w:rFonts w:hint="eastAsia" w:ascii="黑体" w:hAnsi="宋体" w:eastAsia="黑体"/>
          <w:b/>
          <w:sz w:val="44"/>
        </w:rPr>
      </w:pPr>
      <w:r>
        <w:rPr>
          <w:rFonts w:hint="eastAsia" w:ascii="黑体" w:hAnsi="宋体" w:eastAsia="黑体"/>
          <w:b/>
          <w:sz w:val="44"/>
        </w:rPr>
        <w:t>绩效评价报告</w:t>
      </w:r>
    </w:p>
    <w:p>
      <w:pPr>
        <w:spacing w:line="360" w:lineRule="auto"/>
        <w:rPr>
          <w:rFonts w:hint="eastAsia" w:ascii="宋体" w:hAnsi="宋体"/>
          <w:sz w:val="28"/>
          <w:szCs w:val="28"/>
          <w:lang w:eastAsia="zh-CN"/>
        </w:rPr>
      </w:pPr>
    </w:p>
    <w:p>
      <w:pPr>
        <w:tabs>
          <w:tab w:val="left" w:pos="3420"/>
        </w:tabs>
        <w:spacing w:line="360" w:lineRule="auto"/>
        <w:rPr>
          <w:rFonts w:hint="eastAsia" w:ascii="宋体" w:hAnsi="宋体" w:eastAsia="宋体" w:cs="宋体"/>
          <w:color w:val="auto"/>
          <w:sz w:val="30"/>
          <w:szCs w:val="30"/>
        </w:rPr>
      </w:pPr>
      <w:r>
        <w:rPr>
          <w:rFonts w:hint="eastAsia" w:ascii="宋体" w:hAnsi="宋体" w:eastAsia="宋体" w:cs="宋体"/>
          <w:color w:val="auto"/>
          <w:sz w:val="30"/>
          <w:szCs w:val="30"/>
          <w:lang w:eastAsia="zh-CN"/>
        </w:rPr>
        <w:t>岳</w:t>
      </w: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lang w:eastAsia="zh-CN"/>
        </w:rPr>
        <w:t>阳</w:t>
      </w: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lang w:eastAsia="zh-CN"/>
        </w:rPr>
        <w:t>市</w:t>
      </w: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rPr>
        <w:t>云</w:t>
      </w: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rPr>
        <w:t>溪</w:t>
      </w: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rPr>
        <w:t>区</w:t>
      </w: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rPr>
        <w:t>财</w:t>
      </w: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rPr>
        <w:t>政</w:t>
      </w: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rPr>
        <w:t>局</w:t>
      </w:r>
      <w:r>
        <w:rPr>
          <w:rFonts w:hint="eastAsia" w:ascii="宋体" w:hAnsi="宋体" w:eastAsia="宋体" w:cs="宋体"/>
          <w:color w:val="auto"/>
          <w:sz w:val="30"/>
          <w:szCs w:val="30"/>
          <w:lang w:eastAsia="zh-CN"/>
        </w:rPr>
        <w:t>：</w:t>
      </w:r>
    </w:p>
    <w:p>
      <w:pPr>
        <w:tabs>
          <w:tab w:val="left" w:pos="3420"/>
        </w:tabs>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sz w:val="30"/>
          <w:szCs w:val="30"/>
          <w:lang w:eastAsia="zh-CN"/>
        </w:rPr>
        <w:t>我们</w:t>
      </w:r>
      <w:r>
        <w:rPr>
          <w:rFonts w:hint="eastAsia" w:ascii="宋体" w:hAnsi="宋体" w:eastAsia="宋体" w:cs="宋体"/>
          <w:color w:val="auto"/>
          <w:sz w:val="30"/>
          <w:szCs w:val="30"/>
        </w:rPr>
        <w:t>接受委托，对</w:t>
      </w:r>
      <w:r>
        <w:rPr>
          <w:rFonts w:hint="eastAsia" w:ascii="宋体" w:hAnsi="宋体" w:eastAsia="宋体" w:cs="宋体"/>
          <w:color w:val="auto"/>
          <w:sz w:val="30"/>
          <w:szCs w:val="30"/>
          <w:highlight w:val="none"/>
          <w:lang w:val="en-US" w:eastAsia="zh-CN"/>
        </w:rPr>
        <w:t>2020年</w:t>
      </w:r>
      <w:r>
        <w:rPr>
          <w:rFonts w:hint="eastAsia" w:ascii="宋体" w:hAnsi="宋体" w:eastAsia="宋体" w:cs="宋体"/>
          <w:color w:val="auto"/>
          <w:sz w:val="30"/>
          <w:szCs w:val="30"/>
          <w:lang w:eastAsia="zh-CN"/>
        </w:rPr>
        <w:t>度岳阳市云溪区</w:t>
      </w:r>
      <w:r>
        <w:rPr>
          <w:rFonts w:hint="eastAsia" w:ascii="宋体" w:hAnsi="宋体" w:eastAsia="宋体" w:cs="宋体"/>
          <w:color w:val="auto"/>
          <w:sz w:val="30"/>
          <w:szCs w:val="30"/>
          <w:highlight w:val="none"/>
          <w:lang w:val="en-US" w:eastAsia="zh-CN"/>
        </w:rPr>
        <w:t>应急管理局</w:t>
      </w:r>
      <w:r>
        <w:rPr>
          <w:rFonts w:hint="eastAsia" w:ascii="宋体" w:hAnsi="宋体" w:eastAsia="宋体" w:cs="宋体"/>
          <w:b w:val="0"/>
          <w:bCs/>
          <w:color w:val="auto"/>
          <w:sz w:val="30"/>
          <w:szCs w:val="30"/>
        </w:rPr>
        <w:t>（以下简称：</w:t>
      </w:r>
      <w:r>
        <w:rPr>
          <w:rFonts w:hint="eastAsia" w:ascii="宋体" w:hAnsi="宋体" w:eastAsia="宋体" w:cs="宋体"/>
          <w:color w:val="auto"/>
          <w:sz w:val="30"/>
          <w:szCs w:val="30"/>
          <w:highlight w:val="none"/>
          <w:lang w:val="en-US" w:eastAsia="zh-CN"/>
        </w:rPr>
        <w:t>区应急管理局</w:t>
      </w:r>
      <w:r>
        <w:rPr>
          <w:rFonts w:hint="eastAsia" w:ascii="宋体" w:hAnsi="宋体" w:eastAsia="宋体" w:cs="宋体"/>
          <w:b w:val="0"/>
          <w:bCs/>
          <w:color w:val="auto"/>
          <w:sz w:val="30"/>
          <w:szCs w:val="30"/>
        </w:rPr>
        <w:t>）</w:t>
      </w:r>
      <w:r>
        <w:rPr>
          <w:rFonts w:hint="eastAsia" w:ascii="宋体" w:hAnsi="宋体" w:eastAsia="宋体" w:cs="宋体"/>
          <w:color w:val="auto"/>
          <w:sz w:val="30"/>
          <w:szCs w:val="30"/>
        </w:rPr>
        <w:t>的整体支出实施绩效评价。</w:t>
      </w:r>
      <w:r>
        <w:rPr>
          <w:rFonts w:hint="eastAsia" w:ascii="宋体" w:hAnsi="宋体" w:eastAsia="宋体" w:cs="宋体"/>
          <w:color w:val="auto"/>
          <w:sz w:val="30"/>
          <w:szCs w:val="30"/>
          <w:highlight w:val="none"/>
          <w:lang w:val="en-US" w:eastAsia="zh-CN"/>
        </w:rPr>
        <w:t>区应急管理局</w:t>
      </w:r>
      <w:r>
        <w:rPr>
          <w:rFonts w:hint="eastAsia" w:ascii="宋体" w:hAnsi="宋体" w:eastAsia="宋体" w:cs="宋体"/>
          <w:color w:val="auto"/>
          <w:sz w:val="30"/>
          <w:szCs w:val="30"/>
        </w:rPr>
        <w:t>应当对其所提供的与绩效评价相关的财务资料和其他证明材料的真实性、合法性和完整性负责。</w:t>
      </w:r>
    </w:p>
    <w:p>
      <w:pPr>
        <w:widowControl/>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eastAsia="zh-CN"/>
        </w:rPr>
        <w:t>我们</w:t>
      </w:r>
      <w:r>
        <w:rPr>
          <w:rFonts w:hint="eastAsia" w:ascii="宋体" w:hAnsi="宋体" w:eastAsia="宋体" w:cs="宋体"/>
          <w:color w:val="auto"/>
          <w:sz w:val="30"/>
          <w:szCs w:val="30"/>
        </w:rPr>
        <w:t>的责任是对这些项目资料发表评价意见。</w:t>
      </w:r>
      <w:r>
        <w:rPr>
          <w:rFonts w:hint="eastAsia" w:ascii="宋体" w:hAnsi="宋体" w:eastAsia="宋体" w:cs="宋体"/>
          <w:color w:val="auto"/>
          <w:sz w:val="30"/>
          <w:szCs w:val="30"/>
          <w:lang w:eastAsia="zh-CN"/>
        </w:rPr>
        <w:t>我们</w:t>
      </w:r>
      <w:r>
        <w:rPr>
          <w:rFonts w:hint="eastAsia" w:ascii="宋体" w:hAnsi="宋体" w:eastAsia="宋体" w:cs="宋体"/>
          <w:color w:val="auto"/>
          <w:sz w:val="30"/>
          <w:szCs w:val="30"/>
        </w:rPr>
        <w:t>的评价意见是根据财政部</w:t>
      </w:r>
      <w:r>
        <w:rPr>
          <w:rFonts w:hint="eastAsia" w:ascii="宋体" w:hAnsi="宋体" w:eastAsia="宋体" w:cs="宋体"/>
          <w:color w:val="auto"/>
          <w:kern w:val="0"/>
          <w:sz w:val="30"/>
          <w:szCs w:val="30"/>
        </w:rPr>
        <w:t>《财政支出绩效评价管理暂行办法》</w:t>
      </w:r>
      <w:r>
        <w:rPr>
          <w:rFonts w:hint="eastAsia" w:ascii="宋体" w:hAnsi="宋体" w:eastAsia="宋体" w:cs="宋体"/>
          <w:bCs/>
          <w:color w:val="auto"/>
          <w:sz w:val="30"/>
          <w:szCs w:val="30"/>
        </w:rPr>
        <w:t>云溪区财政局《绩效评价业务委托合同》</w:t>
      </w:r>
      <w:r>
        <w:rPr>
          <w:rFonts w:hint="eastAsia" w:ascii="宋体" w:hAnsi="宋体" w:eastAsia="宋体" w:cs="宋体"/>
          <w:color w:val="auto"/>
          <w:sz w:val="30"/>
          <w:szCs w:val="30"/>
        </w:rPr>
        <w:t>中国注册会计师协会《</w:t>
      </w:r>
      <w:r>
        <w:rPr>
          <w:rFonts w:hint="eastAsia" w:ascii="宋体" w:hAnsi="宋体" w:eastAsia="宋体" w:cs="宋体"/>
          <w:bCs/>
          <w:color w:val="auto"/>
          <w:sz w:val="30"/>
          <w:szCs w:val="30"/>
        </w:rPr>
        <w:t>会计师事务所财政支出绩效评价业务指引</w:t>
      </w:r>
      <w:r>
        <w:rPr>
          <w:rFonts w:hint="eastAsia" w:ascii="宋体" w:hAnsi="宋体" w:eastAsia="宋体" w:cs="宋体"/>
          <w:color w:val="auto"/>
          <w:sz w:val="30"/>
          <w:szCs w:val="30"/>
        </w:rPr>
        <w:t>》等有关文件要求进行的。在评价过程中，</w:t>
      </w:r>
      <w:r>
        <w:rPr>
          <w:rFonts w:hint="eastAsia" w:ascii="宋体" w:hAnsi="宋体" w:eastAsia="宋体" w:cs="宋体"/>
          <w:color w:val="auto"/>
          <w:sz w:val="30"/>
          <w:szCs w:val="30"/>
          <w:lang w:eastAsia="zh-CN"/>
        </w:rPr>
        <w:t>我们</w:t>
      </w:r>
      <w:r>
        <w:rPr>
          <w:rFonts w:hint="eastAsia" w:ascii="宋体" w:hAnsi="宋体" w:eastAsia="宋体" w:cs="宋体"/>
          <w:color w:val="auto"/>
          <w:sz w:val="30"/>
          <w:szCs w:val="30"/>
        </w:rPr>
        <w:t>结合评价项目具体情况及委托要求，</w:t>
      </w:r>
      <w:r>
        <w:rPr>
          <w:rFonts w:hint="eastAsia" w:ascii="宋体" w:hAnsi="宋体" w:eastAsia="宋体" w:cs="宋体"/>
          <w:color w:val="auto"/>
          <w:kern w:val="0"/>
          <w:sz w:val="30"/>
          <w:szCs w:val="30"/>
        </w:rPr>
        <w:t>对</w:t>
      </w:r>
      <w:r>
        <w:rPr>
          <w:rFonts w:hint="eastAsia" w:ascii="宋体" w:hAnsi="宋体" w:eastAsia="宋体" w:cs="宋体"/>
          <w:color w:val="auto"/>
          <w:sz w:val="30"/>
          <w:szCs w:val="30"/>
          <w:highlight w:val="none"/>
          <w:lang w:val="en-US" w:eastAsia="zh-CN"/>
        </w:rPr>
        <w:t>2020年区应急管理局</w:t>
      </w:r>
      <w:r>
        <w:rPr>
          <w:rFonts w:hint="eastAsia" w:ascii="宋体" w:hAnsi="宋体" w:eastAsia="宋体" w:cs="宋体"/>
          <w:bCs/>
          <w:color w:val="auto"/>
          <w:sz w:val="30"/>
          <w:szCs w:val="30"/>
        </w:rPr>
        <w:t>的整体支出</w:t>
      </w:r>
      <w:r>
        <w:rPr>
          <w:rFonts w:hint="eastAsia" w:ascii="宋体" w:hAnsi="宋体" w:eastAsia="宋体" w:cs="宋体"/>
          <w:color w:val="auto"/>
          <w:kern w:val="0"/>
          <w:sz w:val="30"/>
          <w:szCs w:val="30"/>
        </w:rPr>
        <w:t>实施绩效评价，</w:t>
      </w:r>
      <w:r>
        <w:rPr>
          <w:rFonts w:hint="eastAsia" w:ascii="宋体" w:hAnsi="宋体" w:eastAsia="宋体" w:cs="宋体"/>
          <w:color w:val="auto"/>
          <w:sz w:val="30"/>
          <w:szCs w:val="30"/>
        </w:rPr>
        <w:t>现将有关情况报告如下：</w:t>
      </w:r>
    </w:p>
    <w:p>
      <w:pPr>
        <w:widowControl/>
        <w:ind w:firstLine="600" w:firstLineChars="200"/>
        <w:rPr>
          <w:rFonts w:hint="eastAsia" w:ascii="宋体" w:hAnsi="宋体" w:eastAsia="宋体" w:cs="宋体"/>
          <w:color w:val="auto"/>
          <w:sz w:val="30"/>
          <w:szCs w:val="30"/>
        </w:rPr>
      </w:pPr>
    </w:p>
    <w:p>
      <w:pPr>
        <w:pStyle w:val="2"/>
        <w:rPr>
          <w:rFonts w:hint="eastAsia" w:ascii="宋体" w:hAnsi="宋体" w:eastAsia="宋体" w:cs="宋体"/>
          <w:color w:val="auto"/>
          <w:sz w:val="30"/>
          <w:szCs w:val="30"/>
        </w:rPr>
      </w:pPr>
    </w:p>
    <w:p>
      <w:pPr>
        <w:pStyle w:val="2"/>
        <w:rPr>
          <w:rFonts w:hint="eastAsia" w:ascii="宋体" w:hAnsi="宋体" w:eastAsia="宋体" w:cs="宋体"/>
          <w:color w:val="auto"/>
          <w:sz w:val="30"/>
          <w:szCs w:val="30"/>
        </w:rPr>
      </w:pPr>
    </w:p>
    <w:p>
      <w:pPr>
        <w:ind w:firstLine="602" w:firstLineChars="200"/>
        <w:rPr>
          <w:rFonts w:hint="eastAsia" w:ascii="宋体" w:hAnsi="宋体" w:eastAsia="宋体" w:cs="宋体"/>
          <w:b/>
          <w:sz w:val="30"/>
          <w:szCs w:val="30"/>
        </w:rPr>
      </w:pPr>
      <w:r>
        <w:rPr>
          <w:rFonts w:hint="eastAsia" w:ascii="宋体" w:hAnsi="宋体" w:eastAsia="宋体" w:cs="宋体"/>
          <w:b/>
          <w:sz w:val="30"/>
          <w:szCs w:val="30"/>
        </w:rPr>
        <w:t>一、基本情况</w:t>
      </w:r>
    </w:p>
    <w:p>
      <w:pPr>
        <w:autoSpaceDE w:val="0"/>
        <w:autoSpaceDN w:val="0"/>
        <w:adjustRightInd w:val="0"/>
        <w:ind w:firstLine="301" w:firstLineChars="100"/>
        <w:rPr>
          <w:rFonts w:hint="eastAsia" w:ascii="宋体" w:hAnsi="宋体" w:eastAsia="宋体" w:cs="宋体"/>
          <w:b/>
          <w:sz w:val="30"/>
          <w:szCs w:val="30"/>
          <w:lang w:val="zh-CN"/>
        </w:rPr>
      </w:pPr>
      <w:r>
        <w:rPr>
          <w:rFonts w:hint="eastAsia" w:ascii="宋体" w:hAnsi="宋体" w:eastAsia="宋体" w:cs="宋体"/>
          <w:b/>
          <w:sz w:val="30"/>
          <w:szCs w:val="30"/>
          <w:lang w:val="zh-CN"/>
        </w:rPr>
        <w:t>（一）单位基本情况：</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lang w:val="en-US" w:eastAsia="zh-CN"/>
        </w:rPr>
        <w:t>区安监局成立于2003年12月，2017年5月2日确定为政府行政执法机构。2019年3月机构改革后组建成立应急管理局，为区政府工作部门，正科级，加挂岳阳市云溪区防汛抗旱指挥部办公室牌子。</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hint="eastAsia" w:ascii="宋体" w:hAnsi="宋体" w:eastAsia="宋体" w:cs="宋体"/>
          <w:sz w:val="30"/>
          <w:szCs w:val="30"/>
          <w:highlight w:val="cyan"/>
          <w:lang w:val="en-US" w:eastAsia="zh-CN"/>
        </w:rPr>
      </w:pPr>
      <w:r>
        <w:rPr>
          <w:rFonts w:hint="eastAsia" w:ascii="宋体" w:hAnsi="宋体" w:eastAsia="宋体" w:cs="宋体"/>
          <w:sz w:val="30"/>
          <w:szCs w:val="30"/>
          <w:highlight w:val="none"/>
          <w:lang w:val="en-US" w:eastAsia="zh-CN"/>
        </w:rPr>
        <w:t>按照“三定”方案（岳云办发〔2019〕81号）规定，云溪区应急管理局内设10个股室：办公室、应急指挥中心（风险监测和综合减灾股）、防汛抗旱股（地震和地质灾害救援股）、火灾防治管理股、安全生产综合协调股、危险化学品安全监督管理股（行政审批股）、烟花爆竹、非煤矿山和工贸行业安全监督管理股、政策法规股、调查评估和统计股、人事和财务股。下属单位2个：岳阳市云溪区安全生产监察执法大队、岳阳市云溪区应急救援中心。</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outlineLvl w:val="9"/>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eastAsia="zh-CN"/>
        </w:rPr>
        <w:t>（二）</w:t>
      </w:r>
      <w:r>
        <w:rPr>
          <w:rFonts w:hint="eastAsia" w:ascii="宋体" w:hAnsi="宋体" w:eastAsia="宋体" w:cs="宋体"/>
          <w:b/>
          <w:bCs/>
          <w:color w:val="auto"/>
          <w:sz w:val="30"/>
          <w:szCs w:val="30"/>
        </w:rPr>
        <w:t>主要职能</w:t>
      </w:r>
      <w:r>
        <w:rPr>
          <w:rFonts w:hint="eastAsia" w:ascii="宋体" w:hAnsi="宋体" w:eastAsia="宋体" w:cs="宋体"/>
          <w:b/>
          <w:bCs/>
          <w:color w:val="auto"/>
          <w:sz w:val="30"/>
          <w:szCs w:val="30"/>
          <w:lang w:eastAsia="zh-CN"/>
        </w:rPr>
        <w:t>职责</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hint="eastAsia" w:ascii="宋体" w:hAnsi="宋体" w:eastAsia="宋体" w:cs="宋体"/>
          <w:b w:val="0"/>
          <w:bCs w:val="0"/>
          <w:color w:val="auto"/>
          <w:sz w:val="30"/>
          <w:szCs w:val="30"/>
          <w:highlight w:val="none"/>
          <w:lang w:eastAsia="zh-CN"/>
        </w:rPr>
      </w:pPr>
      <w:r>
        <w:rPr>
          <w:rFonts w:hint="eastAsia" w:ascii="宋体" w:hAnsi="宋体" w:eastAsia="宋体" w:cs="宋体"/>
          <w:sz w:val="30"/>
          <w:szCs w:val="30"/>
          <w:highlight w:val="none"/>
          <w:lang w:val="en-US" w:eastAsia="zh-CN"/>
        </w:rPr>
        <w:t>区应急管理局</w:t>
      </w:r>
      <w:r>
        <w:rPr>
          <w:rFonts w:hint="eastAsia" w:ascii="宋体" w:hAnsi="宋体" w:eastAsia="宋体" w:cs="宋体"/>
          <w:b w:val="0"/>
          <w:bCs w:val="0"/>
          <w:color w:val="auto"/>
          <w:sz w:val="30"/>
          <w:szCs w:val="30"/>
          <w:highlight w:val="none"/>
          <w:lang w:eastAsia="zh-CN"/>
        </w:rPr>
        <w:t>主要职责共有17项，整合了应急管理、安全生产、防汛抗旱、森林防火、地质灾害、消防安全、抗震减灾、灾害救助等8个部门13个领域的工作。</w:t>
      </w:r>
    </w:p>
    <w:p>
      <w:pPr>
        <w:ind w:firstLine="301" w:firstLineChars="100"/>
        <w:rPr>
          <w:rFonts w:hint="eastAsia" w:ascii="宋体" w:hAnsi="宋体" w:eastAsia="宋体" w:cs="宋体"/>
          <w:b/>
          <w:bCs/>
          <w:sz w:val="30"/>
          <w:szCs w:val="30"/>
        </w:rPr>
      </w:pPr>
      <w:r>
        <w:rPr>
          <w:rFonts w:hint="eastAsia" w:ascii="宋体" w:hAnsi="宋体" w:eastAsia="宋体" w:cs="宋体"/>
          <w:b/>
          <w:bCs/>
          <w:sz w:val="30"/>
          <w:szCs w:val="30"/>
          <w:highlight w:val="none"/>
          <w:lang w:eastAsia="zh-CN"/>
        </w:rPr>
        <w:t>（三）</w:t>
      </w:r>
      <w:r>
        <w:rPr>
          <w:rFonts w:hint="eastAsia" w:ascii="宋体" w:hAnsi="宋体" w:eastAsia="宋体" w:cs="宋体"/>
          <w:b/>
          <w:bCs/>
          <w:sz w:val="30"/>
          <w:szCs w:val="30"/>
          <w:lang w:val="en-US" w:eastAsia="zh-CN"/>
        </w:rPr>
        <w:t>2020年重点</w:t>
      </w:r>
      <w:r>
        <w:rPr>
          <w:rFonts w:hint="eastAsia" w:ascii="宋体" w:hAnsi="宋体" w:eastAsia="宋体" w:cs="宋体"/>
          <w:b/>
          <w:bCs/>
          <w:sz w:val="30"/>
          <w:szCs w:val="30"/>
        </w:rPr>
        <w:t>工作目标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2" w:firstLineChars="200"/>
        <w:textAlignment w:val="auto"/>
        <w:outlineLvl w:val="9"/>
        <w:rPr>
          <w:rFonts w:hint="eastAsia" w:ascii="宋体" w:hAnsi="宋体" w:eastAsia="宋体" w:cs="宋体"/>
          <w:b/>
          <w:bCs/>
          <w:sz w:val="30"/>
          <w:szCs w:val="30"/>
        </w:rPr>
      </w:pPr>
      <w:r>
        <w:rPr>
          <w:rFonts w:hint="eastAsia" w:ascii="宋体" w:hAnsi="宋体" w:eastAsia="宋体" w:cs="宋体"/>
          <w:b/>
          <w:bCs/>
          <w:sz w:val="30"/>
          <w:szCs w:val="30"/>
          <w:lang w:val="en-US" w:eastAsia="zh-CN"/>
        </w:rPr>
        <w:t>1、</w:t>
      </w:r>
      <w:r>
        <w:rPr>
          <w:rFonts w:hint="eastAsia" w:ascii="宋体" w:hAnsi="宋体" w:eastAsia="宋体" w:cs="宋体"/>
          <w:b/>
          <w:bCs/>
          <w:sz w:val="30"/>
          <w:szCs w:val="30"/>
        </w:rPr>
        <w:t>总体目标</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hint="eastAsia" w:ascii="宋体" w:hAnsi="宋体" w:eastAsia="宋体" w:cs="宋体"/>
          <w:b w:val="0"/>
          <w:bCs w:val="0"/>
          <w:color w:val="auto"/>
          <w:sz w:val="30"/>
          <w:szCs w:val="30"/>
          <w:highlight w:val="none"/>
          <w:lang w:eastAsia="zh-CN"/>
        </w:rPr>
      </w:pPr>
      <w:r>
        <w:rPr>
          <w:rFonts w:hint="eastAsia" w:ascii="宋体" w:hAnsi="宋体" w:eastAsia="宋体" w:cs="宋体"/>
          <w:b w:val="0"/>
          <w:bCs w:val="0"/>
          <w:color w:val="auto"/>
          <w:sz w:val="30"/>
          <w:szCs w:val="30"/>
          <w:highlight w:val="none"/>
          <w:lang w:eastAsia="zh-CN"/>
        </w:rPr>
        <w:t>以顽瘴痼疾存量隐患清零行动为抓手，实行风险分级管控，着力补足工作短板，严控各类事故发生。坚守“三个坚决一个确保”总目标，即坚决杜绝较大事故、坚决遏制一般事故、坚决防范各类自然灾害导致较大人员伤亡；确保全区安全形势持续平稳向好。</w:t>
      </w:r>
    </w:p>
    <w:p>
      <w:pPr>
        <w:numPr>
          <w:ilvl w:val="0"/>
          <w:numId w:val="0"/>
        </w:numPr>
        <w:ind w:firstLine="602" w:firstLineChars="200"/>
        <w:rPr>
          <w:rFonts w:hint="eastAsia" w:ascii="宋体" w:hAnsi="宋体" w:eastAsia="宋体" w:cs="宋体"/>
          <w:sz w:val="30"/>
          <w:szCs w:val="30"/>
          <w:lang w:val="en-US" w:eastAsia="zh-CN"/>
        </w:rPr>
      </w:pPr>
      <w:r>
        <w:rPr>
          <w:rFonts w:hint="eastAsia" w:ascii="宋体" w:hAnsi="宋体" w:cs="宋体"/>
          <w:b/>
          <w:bCs/>
          <w:sz w:val="30"/>
          <w:szCs w:val="30"/>
          <w:lang w:val="en-US" w:eastAsia="zh-CN"/>
        </w:rPr>
        <w:t>2、</w:t>
      </w:r>
      <w:r>
        <w:rPr>
          <w:rFonts w:hint="eastAsia" w:ascii="宋体" w:hAnsi="宋体" w:eastAsia="宋体" w:cs="宋体"/>
          <w:b/>
          <w:bCs/>
          <w:sz w:val="30"/>
          <w:szCs w:val="30"/>
        </w:rPr>
        <w:t>具体目标任务</w:t>
      </w:r>
    </w:p>
    <w:p>
      <w:pPr>
        <w:numPr>
          <w:ilvl w:val="0"/>
          <w:numId w:val="0"/>
        </w:numPr>
        <w:ind w:firstLine="600" w:firstLineChars="200"/>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lang w:val="en-US" w:eastAsia="zh-CN"/>
        </w:rPr>
        <w:t>（1）落实企业安全生产主体责任，严格检查执法，积极整改安全隐患。</w:t>
      </w:r>
    </w:p>
    <w:p>
      <w:pPr>
        <w:numPr>
          <w:ilvl w:val="0"/>
          <w:numId w:val="0"/>
        </w:numPr>
        <w:ind w:firstLine="600" w:firstLineChars="200"/>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lang w:val="en-US" w:eastAsia="zh-CN"/>
        </w:rPr>
        <w:t>（2）督促企业在规定期限内及时完成整改。</w:t>
      </w:r>
    </w:p>
    <w:p>
      <w:pPr>
        <w:numPr>
          <w:ilvl w:val="0"/>
          <w:numId w:val="0"/>
        </w:numPr>
        <w:ind w:firstLine="600" w:firstLineChars="200"/>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lang w:val="en-US" w:eastAsia="zh-CN"/>
        </w:rPr>
        <w:t>（3）在法定期限内及时办理执法案件，无超期现象。</w:t>
      </w:r>
    </w:p>
    <w:p>
      <w:pPr>
        <w:numPr>
          <w:ilvl w:val="0"/>
          <w:numId w:val="0"/>
        </w:numPr>
        <w:ind w:firstLine="600" w:firstLineChars="200"/>
        <w:rPr>
          <w:rFonts w:hint="eastAsia" w:ascii="宋体" w:hAnsi="宋体" w:eastAsia="宋体" w:cs="宋体"/>
          <w:b/>
          <w:bCs/>
          <w:sz w:val="30"/>
          <w:szCs w:val="30"/>
          <w:highlight w:val="none"/>
          <w:lang w:val="en-US" w:eastAsia="zh-CN"/>
        </w:rPr>
      </w:pPr>
      <w:r>
        <w:rPr>
          <w:rFonts w:hint="eastAsia" w:ascii="宋体" w:hAnsi="宋体" w:eastAsia="宋体" w:cs="宋体"/>
          <w:sz w:val="30"/>
          <w:szCs w:val="30"/>
          <w:highlight w:val="none"/>
          <w:lang w:val="en-US" w:eastAsia="zh-CN"/>
        </w:rPr>
        <w:t>（4）抓好关键少数人的业务素养和专业技能，关键时间节点，确保全区生产持续平稳，各类风险可控。</w:t>
      </w:r>
    </w:p>
    <w:p>
      <w:pPr>
        <w:ind w:firstLine="301" w:firstLineChars="100"/>
        <w:rPr>
          <w:rFonts w:hint="eastAsia" w:ascii="宋体" w:hAnsi="宋体" w:eastAsia="宋体" w:cs="宋体"/>
          <w:b/>
          <w:color w:val="000000"/>
          <w:sz w:val="30"/>
          <w:szCs w:val="30"/>
        </w:rPr>
      </w:pPr>
      <w:r>
        <w:rPr>
          <w:rFonts w:hint="eastAsia" w:ascii="宋体" w:hAnsi="宋体" w:eastAsia="宋体" w:cs="宋体"/>
          <w:b/>
          <w:color w:val="000000"/>
          <w:sz w:val="30"/>
          <w:szCs w:val="30"/>
        </w:rPr>
        <w:t>（</w:t>
      </w:r>
      <w:r>
        <w:rPr>
          <w:rFonts w:hint="eastAsia" w:ascii="宋体" w:hAnsi="宋体" w:eastAsia="宋体" w:cs="宋体"/>
          <w:b/>
          <w:color w:val="000000"/>
          <w:sz w:val="30"/>
          <w:szCs w:val="30"/>
          <w:lang w:val="en-US" w:eastAsia="zh-CN"/>
        </w:rPr>
        <w:t>四</w:t>
      </w:r>
      <w:r>
        <w:rPr>
          <w:rFonts w:hint="eastAsia" w:ascii="宋体" w:hAnsi="宋体" w:eastAsia="宋体" w:cs="宋体"/>
          <w:b/>
          <w:color w:val="000000"/>
          <w:sz w:val="30"/>
          <w:szCs w:val="30"/>
        </w:rPr>
        <w:t>）部门</w:t>
      </w:r>
      <w:r>
        <w:rPr>
          <w:rFonts w:hint="eastAsia" w:ascii="宋体" w:hAnsi="宋体" w:eastAsia="宋体" w:cs="宋体"/>
          <w:b/>
          <w:color w:val="000000"/>
          <w:sz w:val="30"/>
          <w:szCs w:val="30"/>
          <w:lang w:eastAsia="zh-CN"/>
        </w:rPr>
        <w:t>收</w:t>
      </w:r>
      <w:r>
        <w:rPr>
          <w:rFonts w:hint="eastAsia" w:ascii="宋体" w:hAnsi="宋体" w:eastAsia="宋体" w:cs="宋体"/>
          <w:b/>
          <w:color w:val="000000"/>
          <w:sz w:val="30"/>
          <w:szCs w:val="30"/>
        </w:rPr>
        <w:t>支情况</w:t>
      </w:r>
    </w:p>
    <w:p>
      <w:pPr>
        <w:numPr>
          <w:ilvl w:val="0"/>
          <w:numId w:val="3"/>
        </w:numPr>
        <w:ind w:left="28" w:leftChars="0" w:firstLine="602" w:firstLineChars="0"/>
        <w:rPr>
          <w:rFonts w:hint="eastAsia" w:ascii="宋体" w:hAnsi="宋体" w:eastAsia="宋体" w:cs="宋体"/>
          <w:b/>
          <w:bCs/>
          <w:sz w:val="30"/>
          <w:szCs w:val="30"/>
          <w:lang w:eastAsia="zh-CN"/>
        </w:rPr>
      </w:pPr>
      <w:r>
        <w:rPr>
          <w:rFonts w:hint="eastAsia" w:ascii="宋体" w:hAnsi="宋体" w:eastAsia="宋体" w:cs="宋体"/>
          <w:b/>
          <w:bCs/>
          <w:sz w:val="30"/>
          <w:szCs w:val="30"/>
          <w:lang w:val="en-US" w:eastAsia="zh-CN"/>
        </w:rPr>
        <w:t>收入情况：</w:t>
      </w:r>
    </w:p>
    <w:p>
      <w:pPr>
        <w:ind w:firstLine="600" w:firstLineChars="200"/>
        <w:rPr>
          <w:rFonts w:hint="eastAsia" w:ascii="宋体" w:hAnsi="宋体" w:eastAsia="宋体" w:cs="宋体"/>
          <w:sz w:val="30"/>
          <w:szCs w:val="30"/>
          <w:highlight w:val="cyan"/>
          <w:lang w:val="en-US" w:eastAsia="zh-CN"/>
        </w:rPr>
      </w:pPr>
      <w:r>
        <w:rPr>
          <w:rFonts w:hint="eastAsia" w:ascii="宋体" w:hAnsi="宋体" w:eastAsia="宋体" w:cs="宋体"/>
          <w:sz w:val="30"/>
          <w:szCs w:val="30"/>
          <w:lang w:val="en-US" w:eastAsia="zh-CN"/>
        </w:rPr>
        <w:t>2020年区应急管理局总收入为818.75万元，其中财政拨款收入706.67万元，非同级拨款收入83万元，其他收入29.08万元，上年结转76.64万元。</w:t>
      </w:r>
    </w:p>
    <w:p>
      <w:pPr>
        <w:numPr>
          <w:ilvl w:val="0"/>
          <w:numId w:val="3"/>
        </w:numPr>
        <w:ind w:left="28" w:leftChars="0" w:firstLine="602" w:firstLineChars="0"/>
        <w:rPr>
          <w:rFonts w:hint="eastAsia" w:ascii="宋体" w:hAnsi="宋体" w:eastAsia="宋体" w:cs="宋体"/>
          <w:b/>
          <w:bCs w:val="0"/>
          <w:color w:val="0000FF"/>
          <w:sz w:val="30"/>
          <w:szCs w:val="30"/>
          <w:highlight w:val="none"/>
          <w:lang w:val="en-US" w:eastAsia="zh-CN"/>
        </w:rPr>
      </w:pPr>
      <w:r>
        <w:rPr>
          <w:rFonts w:hint="eastAsia" w:ascii="宋体" w:hAnsi="宋体" w:eastAsia="宋体" w:cs="宋体"/>
          <w:b/>
          <w:bCs/>
          <w:sz w:val="30"/>
          <w:szCs w:val="30"/>
          <w:highlight w:val="none"/>
          <w:lang w:val="en-US" w:eastAsia="zh-CN"/>
        </w:rPr>
        <w:t>支出情况：</w:t>
      </w:r>
    </w:p>
    <w:p>
      <w:pPr>
        <w:ind w:firstLine="600" w:firstLineChars="200"/>
        <w:rPr>
          <w:rFonts w:hint="eastAsia" w:ascii="宋体" w:hAnsi="宋体" w:eastAsia="宋体" w:cs="宋体"/>
          <w:b/>
          <w:bCs/>
          <w:sz w:val="30"/>
          <w:szCs w:val="30"/>
        </w:rPr>
      </w:pPr>
      <w:r>
        <w:rPr>
          <w:rFonts w:hint="eastAsia" w:ascii="宋体" w:hAnsi="宋体" w:eastAsia="宋体" w:cs="宋体"/>
          <w:b w:val="0"/>
          <w:bCs w:val="0"/>
          <w:color w:val="000000"/>
          <w:sz w:val="30"/>
          <w:szCs w:val="30"/>
          <w:highlight w:val="none"/>
        </w:rPr>
        <w:t>20</w:t>
      </w:r>
      <w:r>
        <w:rPr>
          <w:rFonts w:hint="eastAsia" w:ascii="宋体" w:hAnsi="宋体" w:eastAsia="宋体" w:cs="宋体"/>
          <w:b w:val="0"/>
          <w:bCs w:val="0"/>
          <w:color w:val="000000"/>
          <w:sz w:val="30"/>
          <w:szCs w:val="30"/>
          <w:highlight w:val="none"/>
          <w:lang w:val="en-US" w:eastAsia="zh-CN"/>
        </w:rPr>
        <w:t>20</w:t>
      </w:r>
      <w:r>
        <w:rPr>
          <w:rFonts w:hint="eastAsia" w:ascii="宋体" w:hAnsi="宋体" w:eastAsia="宋体" w:cs="宋体"/>
          <w:b w:val="0"/>
          <w:bCs w:val="0"/>
          <w:color w:val="000000"/>
          <w:sz w:val="30"/>
          <w:szCs w:val="30"/>
          <w:highlight w:val="none"/>
        </w:rPr>
        <w:t>年</w:t>
      </w:r>
      <w:r>
        <w:rPr>
          <w:rFonts w:hint="eastAsia" w:ascii="宋体" w:hAnsi="宋体" w:eastAsia="宋体" w:cs="宋体"/>
          <w:b w:val="0"/>
          <w:bCs w:val="0"/>
          <w:color w:val="000000"/>
          <w:sz w:val="30"/>
          <w:szCs w:val="30"/>
          <w:highlight w:val="none"/>
          <w:lang w:val="en-US" w:eastAsia="zh-CN"/>
        </w:rPr>
        <w:t>云溪区应急管理局</w:t>
      </w:r>
      <w:r>
        <w:rPr>
          <w:rFonts w:hint="eastAsia" w:ascii="宋体" w:hAnsi="宋体" w:eastAsia="宋体" w:cs="宋体"/>
          <w:b w:val="0"/>
          <w:bCs w:val="0"/>
          <w:color w:val="000000"/>
          <w:sz w:val="30"/>
          <w:szCs w:val="30"/>
          <w:highlight w:val="none"/>
        </w:rPr>
        <w:t>总支出为</w:t>
      </w:r>
      <w:r>
        <w:rPr>
          <w:rFonts w:hint="eastAsia" w:ascii="宋体" w:hAnsi="宋体" w:eastAsia="宋体" w:cs="宋体"/>
          <w:b w:val="0"/>
          <w:bCs w:val="0"/>
          <w:sz w:val="30"/>
          <w:szCs w:val="30"/>
          <w:highlight w:val="none"/>
          <w:lang w:val="en-US" w:eastAsia="zh-CN"/>
        </w:rPr>
        <w:t>742.11</w:t>
      </w:r>
      <w:r>
        <w:rPr>
          <w:rFonts w:hint="eastAsia" w:ascii="宋体" w:hAnsi="宋体" w:eastAsia="宋体" w:cs="宋体"/>
          <w:sz w:val="30"/>
          <w:szCs w:val="30"/>
          <w:lang w:val="en-US" w:eastAsia="zh-CN"/>
        </w:rPr>
        <w:t>万</w:t>
      </w:r>
      <w:r>
        <w:rPr>
          <w:rFonts w:hint="eastAsia" w:ascii="宋体" w:hAnsi="宋体" w:eastAsia="宋体" w:cs="宋体"/>
          <w:b w:val="0"/>
          <w:bCs w:val="0"/>
          <w:color w:val="000000"/>
          <w:sz w:val="30"/>
          <w:szCs w:val="30"/>
          <w:highlight w:val="none"/>
        </w:rPr>
        <w:t>元，其中</w:t>
      </w:r>
      <w:r>
        <w:rPr>
          <w:rFonts w:hint="eastAsia" w:ascii="宋体" w:hAnsi="宋体" w:eastAsia="宋体" w:cs="宋体"/>
          <w:b w:val="0"/>
          <w:bCs w:val="0"/>
          <w:color w:val="000000"/>
          <w:sz w:val="30"/>
          <w:szCs w:val="30"/>
          <w:highlight w:val="none"/>
          <w:lang w:eastAsia="zh-CN"/>
        </w:rPr>
        <w:t>基本支出</w:t>
      </w:r>
      <w:r>
        <w:rPr>
          <w:rFonts w:hint="eastAsia" w:ascii="宋体" w:hAnsi="宋体" w:eastAsia="宋体" w:cs="宋体"/>
          <w:b w:val="0"/>
          <w:bCs w:val="0"/>
          <w:color w:val="000000"/>
          <w:sz w:val="30"/>
          <w:szCs w:val="30"/>
          <w:highlight w:val="none"/>
          <w:lang w:val="en-US" w:eastAsia="zh-CN"/>
        </w:rPr>
        <w:t>431.17</w:t>
      </w:r>
      <w:r>
        <w:rPr>
          <w:rFonts w:hint="eastAsia" w:ascii="宋体" w:hAnsi="宋体" w:eastAsia="宋体" w:cs="宋体"/>
          <w:sz w:val="30"/>
          <w:szCs w:val="30"/>
          <w:lang w:val="en-US" w:eastAsia="zh-CN"/>
        </w:rPr>
        <w:t>万</w:t>
      </w:r>
      <w:r>
        <w:rPr>
          <w:rFonts w:hint="eastAsia" w:ascii="宋体" w:hAnsi="宋体" w:eastAsia="宋体" w:cs="宋体"/>
          <w:b w:val="0"/>
          <w:bCs w:val="0"/>
          <w:color w:val="000000"/>
          <w:sz w:val="30"/>
          <w:szCs w:val="30"/>
          <w:highlight w:val="none"/>
          <w:lang w:val="en-US" w:eastAsia="zh-CN"/>
        </w:rPr>
        <w:t>元（</w:t>
      </w:r>
      <w:r>
        <w:rPr>
          <w:rFonts w:hint="eastAsia" w:ascii="宋体" w:hAnsi="宋体" w:eastAsia="宋体" w:cs="宋体"/>
          <w:b w:val="0"/>
          <w:bCs w:val="0"/>
          <w:color w:val="000000"/>
          <w:sz w:val="30"/>
          <w:szCs w:val="30"/>
          <w:highlight w:val="none"/>
        </w:rPr>
        <w:t>人员经费</w:t>
      </w:r>
      <w:r>
        <w:rPr>
          <w:rFonts w:hint="eastAsia" w:ascii="宋体" w:hAnsi="宋体" w:eastAsia="宋体" w:cs="宋体"/>
          <w:b w:val="0"/>
          <w:bCs w:val="0"/>
          <w:color w:val="000000"/>
          <w:sz w:val="30"/>
          <w:szCs w:val="30"/>
          <w:highlight w:val="none"/>
          <w:lang w:val="en-US" w:eastAsia="zh-CN"/>
        </w:rPr>
        <w:t>286.5</w:t>
      </w:r>
      <w:r>
        <w:rPr>
          <w:rFonts w:hint="eastAsia" w:ascii="宋体" w:hAnsi="宋体" w:eastAsia="宋体" w:cs="宋体"/>
          <w:sz w:val="30"/>
          <w:szCs w:val="30"/>
          <w:lang w:val="en-US" w:eastAsia="zh-CN"/>
        </w:rPr>
        <w:t>万</w:t>
      </w:r>
      <w:r>
        <w:rPr>
          <w:rFonts w:hint="eastAsia" w:ascii="宋体" w:hAnsi="宋体" w:eastAsia="宋体" w:cs="宋体"/>
          <w:b w:val="0"/>
          <w:bCs w:val="0"/>
          <w:color w:val="000000"/>
          <w:sz w:val="30"/>
          <w:szCs w:val="30"/>
          <w:highlight w:val="none"/>
        </w:rPr>
        <w:t>元，商品服务支出</w:t>
      </w:r>
      <w:r>
        <w:rPr>
          <w:rFonts w:hint="eastAsia" w:ascii="宋体" w:hAnsi="宋体" w:eastAsia="宋体" w:cs="宋体"/>
          <w:b w:val="0"/>
          <w:bCs w:val="0"/>
          <w:color w:val="000000"/>
          <w:sz w:val="30"/>
          <w:szCs w:val="30"/>
          <w:highlight w:val="none"/>
          <w:lang w:val="en-US" w:eastAsia="zh-CN"/>
        </w:rPr>
        <w:t>114.21</w:t>
      </w:r>
      <w:r>
        <w:rPr>
          <w:rFonts w:hint="eastAsia" w:ascii="宋体" w:hAnsi="宋体" w:eastAsia="宋体" w:cs="宋体"/>
          <w:sz w:val="30"/>
          <w:szCs w:val="30"/>
          <w:lang w:val="en-US" w:eastAsia="zh-CN"/>
        </w:rPr>
        <w:t>万</w:t>
      </w:r>
      <w:r>
        <w:rPr>
          <w:rFonts w:hint="eastAsia" w:ascii="宋体" w:hAnsi="宋体" w:eastAsia="宋体" w:cs="宋体"/>
          <w:b w:val="0"/>
          <w:bCs w:val="0"/>
          <w:color w:val="000000"/>
          <w:sz w:val="30"/>
          <w:szCs w:val="30"/>
          <w:highlight w:val="none"/>
        </w:rPr>
        <w:t>元，对个人和家庭的补助支出</w:t>
      </w:r>
      <w:r>
        <w:rPr>
          <w:rFonts w:hint="eastAsia" w:ascii="宋体" w:hAnsi="宋体" w:eastAsia="宋体" w:cs="宋体"/>
          <w:b w:val="0"/>
          <w:bCs w:val="0"/>
          <w:color w:val="000000"/>
          <w:sz w:val="30"/>
          <w:szCs w:val="30"/>
          <w:highlight w:val="none"/>
          <w:lang w:val="en-US" w:eastAsia="zh-CN"/>
        </w:rPr>
        <w:t>21.15</w:t>
      </w:r>
      <w:r>
        <w:rPr>
          <w:rFonts w:hint="eastAsia" w:ascii="宋体" w:hAnsi="宋体" w:eastAsia="宋体" w:cs="宋体"/>
          <w:sz w:val="30"/>
          <w:szCs w:val="30"/>
          <w:lang w:val="en-US" w:eastAsia="zh-CN"/>
        </w:rPr>
        <w:t>万</w:t>
      </w:r>
      <w:r>
        <w:rPr>
          <w:rFonts w:hint="eastAsia" w:ascii="宋体" w:hAnsi="宋体" w:eastAsia="宋体" w:cs="宋体"/>
          <w:b w:val="0"/>
          <w:bCs w:val="0"/>
          <w:color w:val="000000"/>
          <w:sz w:val="30"/>
          <w:szCs w:val="30"/>
          <w:highlight w:val="none"/>
          <w:lang w:val="en-US" w:eastAsia="zh-CN"/>
        </w:rPr>
        <w:t>元,其他支出9.31万元，），</w:t>
      </w:r>
      <w:r>
        <w:rPr>
          <w:rFonts w:hint="eastAsia" w:ascii="宋体" w:hAnsi="宋体" w:eastAsia="宋体" w:cs="宋体"/>
          <w:b w:val="0"/>
          <w:bCs w:val="0"/>
          <w:color w:val="000000"/>
          <w:sz w:val="30"/>
          <w:szCs w:val="30"/>
          <w:highlight w:val="none"/>
          <w:lang w:eastAsia="zh-CN"/>
        </w:rPr>
        <w:t>项目</w:t>
      </w:r>
      <w:r>
        <w:rPr>
          <w:rFonts w:hint="eastAsia" w:ascii="宋体" w:hAnsi="宋体" w:eastAsia="宋体" w:cs="宋体"/>
          <w:b w:val="0"/>
          <w:bCs w:val="0"/>
          <w:color w:val="000000"/>
          <w:sz w:val="30"/>
          <w:szCs w:val="30"/>
          <w:highlight w:val="none"/>
        </w:rPr>
        <w:t>支出</w:t>
      </w:r>
      <w:r>
        <w:rPr>
          <w:rFonts w:hint="eastAsia" w:ascii="宋体" w:hAnsi="宋体" w:eastAsia="宋体" w:cs="宋体"/>
          <w:b w:val="0"/>
          <w:bCs w:val="0"/>
          <w:color w:val="000000"/>
          <w:sz w:val="30"/>
          <w:szCs w:val="30"/>
          <w:highlight w:val="none"/>
          <w:lang w:val="en-US" w:eastAsia="zh-CN"/>
        </w:rPr>
        <w:t>310.94</w:t>
      </w:r>
      <w:r>
        <w:rPr>
          <w:rFonts w:hint="eastAsia" w:ascii="宋体" w:hAnsi="宋体" w:eastAsia="宋体" w:cs="宋体"/>
          <w:sz w:val="30"/>
          <w:szCs w:val="30"/>
          <w:lang w:val="en-US" w:eastAsia="zh-CN"/>
        </w:rPr>
        <w:t>万</w:t>
      </w:r>
      <w:r>
        <w:rPr>
          <w:rFonts w:hint="eastAsia" w:ascii="宋体" w:hAnsi="宋体" w:eastAsia="宋体" w:cs="宋体"/>
          <w:b w:val="0"/>
          <w:bCs w:val="0"/>
          <w:color w:val="000000"/>
          <w:sz w:val="30"/>
          <w:szCs w:val="30"/>
          <w:highlight w:val="none"/>
        </w:rPr>
        <w:t>元</w:t>
      </w:r>
      <w:r>
        <w:rPr>
          <w:rFonts w:hint="eastAsia" w:ascii="宋体" w:hAnsi="宋体" w:eastAsia="宋体" w:cs="宋体"/>
          <w:b w:val="0"/>
          <w:bCs w:val="0"/>
          <w:color w:val="000000"/>
          <w:sz w:val="30"/>
          <w:szCs w:val="30"/>
          <w:highlight w:val="none"/>
          <w:lang w:eastAsia="zh-CN"/>
        </w:rPr>
        <w:t>，</w:t>
      </w:r>
      <w:r>
        <w:rPr>
          <w:rFonts w:hint="eastAsia" w:ascii="宋体" w:hAnsi="宋体" w:eastAsia="宋体" w:cs="宋体"/>
          <w:b w:val="0"/>
          <w:bCs w:val="0"/>
          <w:color w:val="000000"/>
          <w:sz w:val="30"/>
          <w:szCs w:val="30"/>
          <w:highlight w:val="none"/>
          <w:lang w:val="en-US" w:eastAsia="zh-CN"/>
        </w:rPr>
        <w:t>当年结余</w:t>
      </w:r>
      <w:r>
        <w:rPr>
          <w:rFonts w:hint="eastAsia" w:ascii="宋体" w:hAnsi="宋体" w:eastAsia="宋体" w:cs="宋体"/>
          <w:sz w:val="30"/>
          <w:szCs w:val="30"/>
          <w:lang w:val="en-US" w:eastAsia="zh-CN"/>
        </w:rPr>
        <w:t>76.64万</w:t>
      </w:r>
      <w:r>
        <w:rPr>
          <w:rFonts w:hint="eastAsia" w:ascii="宋体" w:hAnsi="宋体" w:eastAsia="宋体" w:cs="宋体"/>
          <w:b w:val="0"/>
          <w:bCs w:val="0"/>
          <w:color w:val="000000"/>
          <w:sz w:val="30"/>
          <w:szCs w:val="30"/>
          <w:highlight w:val="none"/>
          <w:lang w:val="en-US" w:eastAsia="zh-CN"/>
        </w:rPr>
        <w:t>元。</w:t>
      </w:r>
      <w:r>
        <w:rPr>
          <w:rFonts w:hint="eastAsia" w:ascii="宋体" w:hAnsi="宋体" w:eastAsia="宋体" w:cs="宋体"/>
          <w:b/>
          <w:bCs w:val="0"/>
          <w:color w:val="0000FF"/>
          <w:sz w:val="30"/>
          <w:szCs w:val="30"/>
          <w:highlight w:val="none"/>
          <w:lang w:val="en-US" w:eastAsia="zh-CN"/>
        </w:rPr>
        <w:t xml:space="preserve">          </w:t>
      </w:r>
      <w:r>
        <w:rPr>
          <w:rFonts w:hint="eastAsia" w:ascii="宋体" w:hAnsi="宋体" w:eastAsia="宋体" w:cs="宋体"/>
          <w:b w:val="0"/>
          <w:bCs w:val="0"/>
          <w:sz w:val="30"/>
          <w:szCs w:val="30"/>
          <w:lang w:val="en-US" w:eastAsia="zh-CN"/>
        </w:rPr>
        <w:t xml:space="preserve">         </w:t>
      </w:r>
    </w:p>
    <w:p>
      <w:pPr>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二、绩效评价工作情况</w:t>
      </w:r>
    </w:p>
    <w:p>
      <w:pPr>
        <w:ind w:firstLine="420"/>
        <w:rPr>
          <w:rFonts w:hint="eastAsia" w:ascii="宋体" w:hAnsi="宋体" w:eastAsia="宋体" w:cs="宋体"/>
          <w:b/>
          <w:bCs/>
          <w:sz w:val="30"/>
          <w:szCs w:val="30"/>
        </w:rPr>
      </w:pPr>
      <w:r>
        <w:rPr>
          <w:rFonts w:hint="eastAsia" w:ascii="宋体" w:hAnsi="宋体" w:eastAsia="宋体" w:cs="宋体"/>
          <w:sz w:val="30"/>
          <w:szCs w:val="30"/>
        </w:rPr>
        <w:t xml:space="preserve"> </w:t>
      </w:r>
      <w:r>
        <w:rPr>
          <w:rFonts w:hint="eastAsia" w:ascii="宋体" w:hAnsi="宋体" w:eastAsia="宋体" w:cs="宋体"/>
          <w:b/>
          <w:bCs/>
          <w:sz w:val="30"/>
          <w:szCs w:val="30"/>
        </w:rPr>
        <w:t>(一)部门整体支出绩效评价依据</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 xml:space="preserve"> 1、财政部《关于印发〈财政支出绩效评价管理暂行办法〉的通知》（财预[2011]285号）</w:t>
      </w:r>
    </w:p>
    <w:p>
      <w:pPr>
        <w:ind w:firstLine="600" w:firstLineChars="200"/>
        <w:rPr>
          <w:rFonts w:hint="eastAsia" w:ascii="宋体" w:hAnsi="宋体" w:eastAsia="宋体" w:cs="宋体"/>
          <w:sz w:val="30"/>
          <w:szCs w:val="30"/>
          <w:highlight w:val="cyan"/>
        </w:rPr>
      </w:pPr>
      <w:r>
        <w:rPr>
          <w:rFonts w:hint="eastAsia" w:ascii="宋体" w:hAnsi="宋体" w:eastAsia="宋体" w:cs="宋体"/>
          <w:sz w:val="30"/>
          <w:szCs w:val="30"/>
          <w:lang w:val="en-US" w:eastAsia="zh-CN"/>
        </w:rPr>
        <w:t>2</w:t>
      </w:r>
      <w:r>
        <w:rPr>
          <w:rFonts w:hint="eastAsia" w:ascii="宋体" w:hAnsi="宋体" w:eastAsia="宋体" w:cs="宋体"/>
          <w:sz w:val="30"/>
          <w:szCs w:val="30"/>
        </w:rPr>
        <w:t>、岳阳市云溪区财政局《关于全面开展2020年财政支出绩效自评工作的通知》</w:t>
      </w:r>
    </w:p>
    <w:p>
      <w:pPr>
        <w:numPr>
          <w:ilvl w:val="0"/>
          <w:numId w:val="0"/>
        </w:numPr>
        <w:autoSpaceDE w:val="0"/>
        <w:autoSpaceDN w:val="0"/>
        <w:adjustRightInd w:val="0"/>
        <w:ind w:firstLine="600" w:firstLineChars="200"/>
        <w:rPr>
          <w:rFonts w:hint="eastAsia" w:ascii="宋体" w:hAnsi="宋体" w:eastAsia="宋体" w:cs="宋体"/>
          <w:sz w:val="30"/>
          <w:szCs w:val="30"/>
        </w:rPr>
      </w:pPr>
      <w:r>
        <w:rPr>
          <w:rFonts w:hint="eastAsia" w:ascii="宋体" w:hAnsi="宋体" w:eastAsia="宋体" w:cs="宋体"/>
          <w:kern w:val="0"/>
          <w:sz w:val="30"/>
          <w:szCs w:val="30"/>
          <w:lang w:val="en-US" w:eastAsia="zh-CN" w:bidi="ar-SA"/>
        </w:rPr>
        <w:t>3、</w:t>
      </w:r>
      <w:r>
        <w:rPr>
          <w:rFonts w:hint="eastAsia" w:ascii="宋体" w:hAnsi="宋体" w:eastAsia="宋体" w:cs="宋体"/>
          <w:color w:val="000000"/>
          <w:kern w:val="0"/>
          <w:sz w:val="30"/>
          <w:szCs w:val="30"/>
          <w:highlight w:val="none"/>
          <w:lang w:val="en-US" w:eastAsia="zh-CN" w:bidi="ar-SA"/>
        </w:rPr>
        <w:t>《行政事业单位财务管理制度》等相关规定。</w:t>
      </w:r>
    </w:p>
    <w:p>
      <w:pPr>
        <w:ind w:firstLine="602" w:firstLineChars="200"/>
        <w:rPr>
          <w:rFonts w:hint="eastAsia" w:ascii="宋体" w:hAnsi="宋体" w:eastAsia="宋体" w:cs="宋体"/>
          <w:sz w:val="30"/>
          <w:szCs w:val="30"/>
        </w:rPr>
      </w:pPr>
      <w:r>
        <w:rPr>
          <w:rFonts w:hint="eastAsia" w:ascii="宋体" w:hAnsi="宋体" w:eastAsia="宋体" w:cs="宋体"/>
          <w:b/>
          <w:bCs/>
          <w:sz w:val="30"/>
          <w:szCs w:val="30"/>
        </w:rPr>
        <w:t>(二)部门整体支出绩效评价目的</w:t>
      </w:r>
    </w:p>
    <w:p>
      <w:pPr>
        <w:ind w:firstLine="420"/>
        <w:rPr>
          <w:rFonts w:hint="eastAsia" w:ascii="宋体" w:hAnsi="宋体" w:eastAsia="宋体" w:cs="宋体"/>
          <w:sz w:val="30"/>
          <w:szCs w:val="30"/>
          <w:highlight w:val="cyan"/>
          <w:lang w:eastAsia="zh-CN"/>
        </w:rPr>
      </w:pPr>
      <w:r>
        <w:rPr>
          <w:rFonts w:hint="eastAsia" w:ascii="宋体" w:hAnsi="宋体" w:eastAsia="宋体" w:cs="宋体"/>
          <w:sz w:val="30"/>
          <w:szCs w:val="30"/>
        </w:rPr>
        <w:t xml:space="preserve">  </w:t>
      </w:r>
      <w:r>
        <w:rPr>
          <w:rFonts w:hint="eastAsia" w:ascii="宋体" w:hAnsi="宋体" w:eastAsia="宋体" w:cs="宋体"/>
          <w:color w:val="auto"/>
          <w:sz w:val="30"/>
          <w:szCs w:val="30"/>
          <w:highlight w:val="none"/>
        </w:rPr>
        <w:t>通过对20</w:t>
      </w:r>
      <w:r>
        <w:rPr>
          <w:rFonts w:hint="eastAsia" w:ascii="宋体" w:hAnsi="宋体" w:eastAsia="宋体" w:cs="宋体"/>
          <w:color w:val="auto"/>
          <w:sz w:val="30"/>
          <w:szCs w:val="30"/>
          <w:highlight w:val="none"/>
          <w:lang w:val="en-US" w:eastAsia="zh-CN"/>
        </w:rPr>
        <w:t>20</w:t>
      </w:r>
      <w:r>
        <w:rPr>
          <w:rFonts w:hint="eastAsia" w:ascii="宋体" w:hAnsi="宋体" w:eastAsia="宋体" w:cs="宋体"/>
          <w:color w:val="auto"/>
          <w:sz w:val="30"/>
          <w:szCs w:val="30"/>
          <w:highlight w:val="none"/>
        </w:rPr>
        <w:t>年</w:t>
      </w:r>
      <w:r>
        <w:rPr>
          <w:rFonts w:hint="eastAsia" w:ascii="宋体" w:hAnsi="宋体" w:eastAsia="宋体" w:cs="宋体"/>
          <w:color w:val="auto"/>
          <w:sz w:val="30"/>
          <w:szCs w:val="30"/>
          <w:highlight w:val="none"/>
          <w:lang w:eastAsia="zh-CN"/>
        </w:rPr>
        <w:t>区</w:t>
      </w:r>
      <w:r>
        <w:rPr>
          <w:rFonts w:hint="eastAsia" w:ascii="宋体" w:hAnsi="宋体" w:eastAsia="宋体" w:cs="宋体"/>
          <w:color w:val="auto"/>
          <w:sz w:val="30"/>
          <w:szCs w:val="30"/>
          <w:highlight w:val="none"/>
          <w:lang w:val="en-US" w:eastAsia="zh-CN"/>
        </w:rPr>
        <w:t>应急管理局</w:t>
      </w:r>
      <w:r>
        <w:rPr>
          <w:rFonts w:hint="eastAsia" w:ascii="宋体" w:hAnsi="宋体" w:eastAsia="宋体" w:cs="宋体"/>
          <w:color w:val="auto"/>
          <w:sz w:val="30"/>
          <w:szCs w:val="30"/>
          <w:highlight w:val="none"/>
        </w:rPr>
        <w:t>的预算配置、预算管理、资产管理、职责履行、履职效益等内容的绩效考评，为财政部门预算管理提供决策依据</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rPr>
        <w:t>提高财政资金的使用效率</w:t>
      </w:r>
      <w:r>
        <w:rPr>
          <w:rFonts w:hint="eastAsia" w:ascii="宋体" w:hAnsi="宋体" w:eastAsia="宋体" w:cs="宋体"/>
          <w:color w:val="auto"/>
          <w:sz w:val="30"/>
          <w:szCs w:val="30"/>
          <w:highlight w:val="none"/>
          <w:lang w:eastAsia="zh-CN"/>
        </w:rPr>
        <w:t>。</w:t>
      </w:r>
    </w:p>
    <w:p>
      <w:pPr>
        <w:ind w:firstLine="602" w:firstLineChars="200"/>
        <w:rPr>
          <w:rFonts w:hint="eastAsia" w:ascii="宋体" w:hAnsi="宋体" w:eastAsia="宋体" w:cs="宋体"/>
          <w:sz w:val="30"/>
          <w:szCs w:val="30"/>
        </w:rPr>
      </w:pPr>
      <w:r>
        <w:rPr>
          <w:rFonts w:hint="eastAsia" w:ascii="宋体" w:hAnsi="宋体" w:eastAsia="宋体" w:cs="宋体"/>
          <w:b/>
          <w:bCs/>
          <w:sz w:val="30"/>
          <w:szCs w:val="30"/>
        </w:rPr>
        <w:t>(三)部门整体支出评价原则、指标评价体系、评价方法</w:t>
      </w:r>
    </w:p>
    <w:p>
      <w:pPr>
        <w:ind w:firstLine="420"/>
        <w:rPr>
          <w:rFonts w:hint="eastAsia" w:ascii="宋体" w:hAnsi="宋体" w:eastAsia="宋体" w:cs="宋体"/>
          <w:sz w:val="30"/>
          <w:szCs w:val="30"/>
        </w:rPr>
      </w:pPr>
      <w:r>
        <w:rPr>
          <w:rFonts w:hint="eastAsia" w:ascii="宋体" w:hAnsi="宋体" w:eastAsia="宋体" w:cs="宋体"/>
          <w:sz w:val="30"/>
          <w:szCs w:val="30"/>
        </w:rPr>
        <w:t xml:space="preserve"> 1．部门整体支出绩效评价原则：遵循客观公正，操作简便高效，尊重客观实际，实事求是的原则。</w:t>
      </w:r>
    </w:p>
    <w:p>
      <w:pPr>
        <w:ind w:firstLine="420"/>
        <w:rPr>
          <w:rFonts w:hint="eastAsia" w:ascii="宋体" w:hAnsi="宋体" w:eastAsia="宋体" w:cs="宋体"/>
          <w:sz w:val="30"/>
          <w:szCs w:val="30"/>
        </w:rPr>
      </w:pPr>
      <w:r>
        <w:rPr>
          <w:rFonts w:hint="eastAsia" w:ascii="宋体" w:hAnsi="宋体" w:eastAsia="宋体" w:cs="宋体"/>
          <w:sz w:val="30"/>
          <w:szCs w:val="30"/>
        </w:rPr>
        <w:t xml:space="preserve"> 2．整体支出绩效评价体系：指标体系包括共性指标和个性指标两部分，本次主要参照了财政部门制定的《部门整体支出绩效评价指标体系》的相关内容，根据部门具体情况对个性指标进行了调整细化，形</w:t>
      </w:r>
      <w:r>
        <w:rPr>
          <w:rFonts w:hint="eastAsia" w:ascii="宋体" w:hAnsi="宋体" w:eastAsia="宋体" w:cs="宋体"/>
          <w:color w:val="auto"/>
          <w:sz w:val="30"/>
          <w:szCs w:val="30"/>
        </w:rPr>
        <w:t>成</w:t>
      </w:r>
      <w:r>
        <w:rPr>
          <w:rFonts w:hint="eastAsia" w:ascii="宋体" w:hAnsi="宋体" w:eastAsia="宋体" w:cs="宋体"/>
          <w:color w:val="auto"/>
          <w:sz w:val="30"/>
          <w:szCs w:val="30"/>
          <w:highlight w:val="none"/>
        </w:rPr>
        <w:t>《</w:t>
      </w:r>
      <w:r>
        <w:rPr>
          <w:rFonts w:hint="eastAsia" w:ascii="宋体" w:hAnsi="宋体" w:eastAsia="宋体" w:cs="宋体"/>
          <w:color w:val="auto"/>
          <w:sz w:val="30"/>
          <w:szCs w:val="30"/>
          <w:highlight w:val="none"/>
          <w:lang w:eastAsia="zh-CN"/>
        </w:rPr>
        <w:t>云溪区</w:t>
      </w:r>
      <w:r>
        <w:rPr>
          <w:rFonts w:hint="eastAsia" w:ascii="宋体" w:hAnsi="宋体" w:eastAsia="宋体" w:cs="宋体"/>
          <w:color w:val="auto"/>
          <w:sz w:val="30"/>
          <w:szCs w:val="30"/>
          <w:highlight w:val="none"/>
          <w:lang w:val="en-US" w:eastAsia="zh-CN"/>
        </w:rPr>
        <w:t>应急管理局</w:t>
      </w:r>
      <w:r>
        <w:rPr>
          <w:rFonts w:hint="eastAsia" w:ascii="宋体" w:hAnsi="宋体" w:eastAsia="宋体" w:cs="宋体"/>
          <w:color w:val="auto"/>
          <w:sz w:val="30"/>
          <w:szCs w:val="30"/>
          <w:highlight w:val="none"/>
        </w:rPr>
        <w:t>整体支出绩效评价指标体系》 (附件1)及《</w:t>
      </w:r>
      <w:r>
        <w:rPr>
          <w:rFonts w:hint="eastAsia" w:ascii="宋体" w:hAnsi="宋体" w:eastAsia="宋体" w:cs="宋体"/>
          <w:color w:val="auto"/>
          <w:sz w:val="30"/>
          <w:szCs w:val="30"/>
          <w:highlight w:val="none"/>
          <w:lang w:eastAsia="zh-CN"/>
        </w:rPr>
        <w:t>云溪区</w:t>
      </w:r>
      <w:r>
        <w:rPr>
          <w:rFonts w:hint="eastAsia" w:ascii="宋体" w:hAnsi="宋体" w:eastAsia="宋体" w:cs="宋体"/>
          <w:color w:val="auto"/>
          <w:sz w:val="30"/>
          <w:szCs w:val="30"/>
          <w:highlight w:val="none"/>
          <w:lang w:val="en-US" w:eastAsia="zh-CN"/>
        </w:rPr>
        <w:t>应急管理局</w:t>
      </w:r>
      <w:r>
        <w:rPr>
          <w:rFonts w:hint="eastAsia" w:ascii="宋体" w:hAnsi="宋体" w:eastAsia="宋体" w:cs="宋体"/>
          <w:color w:val="auto"/>
          <w:sz w:val="30"/>
          <w:szCs w:val="30"/>
          <w:highlight w:val="none"/>
        </w:rPr>
        <w:t>整体支出绩效评价</w:t>
      </w:r>
      <w:r>
        <w:rPr>
          <w:rFonts w:hint="eastAsia" w:ascii="宋体" w:hAnsi="宋体" w:eastAsia="宋体" w:cs="宋体"/>
          <w:color w:val="auto"/>
          <w:sz w:val="30"/>
          <w:szCs w:val="30"/>
          <w:highlight w:val="none"/>
          <w:lang w:eastAsia="zh-CN"/>
        </w:rPr>
        <w:t>评分表</w:t>
      </w:r>
      <w:r>
        <w:rPr>
          <w:rFonts w:hint="eastAsia" w:ascii="宋体" w:hAnsi="宋体" w:eastAsia="宋体" w:cs="宋体"/>
          <w:color w:val="auto"/>
          <w:sz w:val="30"/>
          <w:szCs w:val="30"/>
          <w:highlight w:val="none"/>
        </w:rPr>
        <w:t>》</w:t>
      </w:r>
      <w:r>
        <w:rPr>
          <w:rFonts w:hint="eastAsia" w:ascii="宋体" w:hAnsi="宋体" w:eastAsia="宋体" w:cs="宋体"/>
          <w:color w:val="auto"/>
          <w:sz w:val="30"/>
          <w:szCs w:val="30"/>
        </w:rPr>
        <w:t>(附件2)</w:t>
      </w:r>
      <w:r>
        <w:rPr>
          <w:rFonts w:hint="eastAsia" w:ascii="宋体" w:hAnsi="宋体" w:eastAsia="宋体" w:cs="宋体"/>
          <w:color w:val="auto"/>
          <w:sz w:val="30"/>
          <w:szCs w:val="30"/>
          <w:highlight w:val="none"/>
        </w:rPr>
        <w:t>。</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3．整体支出绩效评价方法：主要采用因素分析法、投入产出效益分析法，比较法，相关部门问卷调查等方法。</w:t>
      </w:r>
    </w:p>
    <w:p>
      <w:pPr>
        <w:ind w:firstLine="420"/>
        <w:rPr>
          <w:rFonts w:hint="eastAsia" w:ascii="宋体" w:hAnsi="宋体" w:eastAsia="宋体" w:cs="宋体"/>
          <w:b/>
          <w:bCs/>
          <w:sz w:val="30"/>
          <w:szCs w:val="30"/>
        </w:rPr>
      </w:pPr>
      <w:r>
        <w:rPr>
          <w:rFonts w:hint="eastAsia" w:ascii="宋体" w:hAnsi="宋体" w:eastAsia="宋体" w:cs="宋体"/>
          <w:sz w:val="30"/>
          <w:szCs w:val="30"/>
        </w:rPr>
        <w:t xml:space="preserve"> </w:t>
      </w:r>
      <w:r>
        <w:rPr>
          <w:rFonts w:hint="eastAsia" w:ascii="宋体" w:hAnsi="宋体" w:eastAsia="宋体" w:cs="宋体"/>
          <w:b/>
          <w:bCs/>
          <w:sz w:val="30"/>
          <w:szCs w:val="30"/>
        </w:rPr>
        <w:t>(四)整体支出绩效评价过程</w:t>
      </w:r>
    </w:p>
    <w:p>
      <w:pPr>
        <w:ind w:firstLine="750" w:firstLineChars="250"/>
        <w:rPr>
          <w:rFonts w:hint="eastAsia" w:ascii="宋体" w:hAnsi="宋体" w:eastAsia="宋体" w:cs="宋体"/>
          <w:sz w:val="30"/>
          <w:szCs w:val="30"/>
        </w:rPr>
      </w:pPr>
      <w:r>
        <w:rPr>
          <w:rFonts w:hint="eastAsia" w:ascii="宋体" w:hAnsi="宋体" w:eastAsia="宋体" w:cs="宋体"/>
          <w:sz w:val="30"/>
          <w:szCs w:val="30"/>
        </w:rPr>
        <w:t xml:space="preserve"> 1．前期准备</w:t>
      </w:r>
    </w:p>
    <w:p>
      <w:pPr>
        <w:ind w:firstLine="750" w:firstLineChars="250"/>
        <w:rPr>
          <w:rFonts w:hint="eastAsia" w:ascii="宋体" w:hAnsi="宋体" w:eastAsia="宋体" w:cs="宋体"/>
          <w:sz w:val="30"/>
          <w:szCs w:val="30"/>
        </w:rPr>
      </w:pPr>
      <w:r>
        <w:rPr>
          <w:rFonts w:hint="eastAsia" w:ascii="宋体" w:hAnsi="宋体" w:eastAsia="宋体" w:cs="宋体"/>
          <w:sz w:val="30"/>
          <w:szCs w:val="30"/>
        </w:rPr>
        <w:t>按</w:t>
      </w:r>
      <w:r>
        <w:rPr>
          <w:rFonts w:hint="eastAsia" w:ascii="宋体" w:hAnsi="宋体" w:eastAsia="宋体" w:cs="宋体"/>
          <w:sz w:val="30"/>
          <w:szCs w:val="30"/>
          <w:lang w:eastAsia="zh-CN"/>
        </w:rPr>
        <w:t>云溪财政局的</w:t>
      </w:r>
      <w:r>
        <w:rPr>
          <w:rFonts w:hint="eastAsia" w:ascii="宋体" w:hAnsi="宋体" w:eastAsia="宋体" w:cs="宋体"/>
          <w:sz w:val="30"/>
          <w:szCs w:val="30"/>
        </w:rPr>
        <w:t>相关工作要求，前期准备工作分为三个阶段。</w:t>
      </w:r>
    </w:p>
    <w:p>
      <w:pPr>
        <w:ind w:firstLine="750" w:firstLineChars="250"/>
        <w:rPr>
          <w:rFonts w:hint="eastAsia" w:ascii="宋体" w:hAnsi="宋体" w:eastAsia="宋体" w:cs="宋体"/>
          <w:sz w:val="30"/>
          <w:szCs w:val="30"/>
          <w:lang w:val="en-US" w:eastAsia="zh-CN"/>
        </w:rPr>
      </w:pPr>
      <w:r>
        <w:rPr>
          <w:rFonts w:hint="eastAsia" w:ascii="宋体" w:hAnsi="宋体" w:eastAsia="宋体" w:cs="宋体"/>
          <w:sz w:val="30"/>
          <w:szCs w:val="30"/>
        </w:rPr>
        <w:t>第一阶段，成立了绩效评价工作小组，确定了项目评价负责人，配置相应的评价人员，并对评价参与人员进行相关培训</w:t>
      </w:r>
      <w:r>
        <w:rPr>
          <w:rFonts w:hint="eastAsia" w:ascii="宋体" w:hAnsi="宋体" w:eastAsia="宋体" w:cs="宋体"/>
          <w:sz w:val="30"/>
          <w:szCs w:val="30"/>
          <w:lang w:val="en-US" w:eastAsia="zh-CN"/>
        </w:rPr>
        <w:t xml:space="preserve"> 。</w:t>
      </w:r>
    </w:p>
    <w:p>
      <w:pPr>
        <w:ind w:firstLine="750" w:firstLineChars="250"/>
        <w:rPr>
          <w:rFonts w:hint="eastAsia" w:ascii="宋体" w:hAnsi="宋体" w:eastAsia="宋体" w:cs="宋体"/>
          <w:sz w:val="30"/>
          <w:szCs w:val="30"/>
          <w:lang w:val="en-US" w:eastAsia="zh-CN"/>
        </w:rPr>
      </w:pPr>
      <w:r>
        <w:rPr>
          <w:rFonts w:hint="eastAsia" w:ascii="宋体" w:hAnsi="宋体" w:eastAsia="宋体" w:cs="宋体"/>
          <w:sz w:val="30"/>
          <w:szCs w:val="30"/>
        </w:rPr>
        <w:t>第二阶段，绩效评价工作小组在财政局绩效评价股的带领下，听取了</w:t>
      </w:r>
      <w:r>
        <w:rPr>
          <w:rFonts w:hint="eastAsia" w:ascii="宋体" w:hAnsi="宋体" w:eastAsia="宋体" w:cs="宋体"/>
          <w:sz w:val="30"/>
          <w:szCs w:val="30"/>
          <w:lang w:val="en-US" w:eastAsia="zh-CN"/>
        </w:rPr>
        <w:t>应急管理</w:t>
      </w:r>
      <w:r>
        <w:rPr>
          <w:rFonts w:hint="eastAsia" w:ascii="宋体" w:hAnsi="宋体" w:eastAsia="宋体" w:cs="宋体"/>
          <w:sz w:val="30"/>
          <w:szCs w:val="30"/>
        </w:rPr>
        <w:t>局对项目的情况介绍，初步了解被评价项目的有关基本情况，</w:t>
      </w:r>
      <w:r>
        <w:rPr>
          <w:rFonts w:hint="eastAsia" w:ascii="宋体" w:hAnsi="宋体" w:eastAsia="宋体" w:cs="宋体"/>
          <w:sz w:val="30"/>
          <w:szCs w:val="30"/>
          <w:lang w:eastAsia="zh-CN"/>
        </w:rPr>
        <w:t>向</w:t>
      </w:r>
      <w:r>
        <w:rPr>
          <w:rFonts w:hint="eastAsia" w:ascii="宋体" w:hAnsi="宋体" w:eastAsia="宋体" w:cs="宋体"/>
          <w:sz w:val="30"/>
          <w:szCs w:val="30"/>
          <w:lang w:val="en-US" w:eastAsia="zh-CN"/>
        </w:rPr>
        <w:t>应急管理局</w:t>
      </w:r>
      <w:r>
        <w:rPr>
          <w:rFonts w:hint="eastAsia" w:ascii="宋体" w:hAnsi="宋体" w:eastAsia="宋体" w:cs="宋体"/>
          <w:sz w:val="30"/>
          <w:szCs w:val="30"/>
          <w:lang w:eastAsia="zh-CN"/>
        </w:rPr>
        <w:t>提交了《绩效评价需提供资料清单》</w:t>
      </w:r>
      <w:r>
        <w:rPr>
          <w:rFonts w:hint="eastAsia" w:ascii="宋体" w:hAnsi="宋体" w:eastAsia="宋体" w:cs="宋体"/>
          <w:sz w:val="30"/>
          <w:szCs w:val="30"/>
        </w:rPr>
        <w:t>。</w:t>
      </w:r>
    </w:p>
    <w:p>
      <w:pPr>
        <w:ind w:firstLine="750" w:firstLineChars="250"/>
        <w:rPr>
          <w:rFonts w:hint="eastAsia" w:ascii="宋体" w:hAnsi="宋体" w:eastAsia="宋体" w:cs="宋体"/>
          <w:sz w:val="30"/>
          <w:szCs w:val="30"/>
        </w:rPr>
      </w:pPr>
      <w:r>
        <w:rPr>
          <w:rFonts w:hint="eastAsia" w:ascii="宋体" w:hAnsi="宋体" w:eastAsia="宋体" w:cs="宋体"/>
          <w:sz w:val="30"/>
          <w:szCs w:val="30"/>
        </w:rPr>
        <w:t>第三阶段，根据财政局绩效评价股的指导意见，绩效评价工作小组制订了绩效评价方案、评价体系指标、调查问卷</w:t>
      </w:r>
      <w:r>
        <w:rPr>
          <w:rFonts w:hint="eastAsia" w:ascii="宋体" w:hAnsi="宋体" w:eastAsia="宋体" w:cs="宋体"/>
          <w:sz w:val="30"/>
          <w:szCs w:val="30"/>
          <w:lang w:eastAsia="zh-CN"/>
        </w:rPr>
        <w:t>表</w:t>
      </w:r>
      <w:r>
        <w:rPr>
          <w:rFonts w:hint="eastAsia" w:ascii="宋体" w:hAnsi="宋体" w:eastAsia="宋体" w:cs="宋体"/>
          <w:sz w:val="30"/>
          <w:szCs w:val="30"/>
        </w:rPr>
        <w:t>等。</w:t>
      </w:r>
    </w:p>
    <w:p>
      <w:pPr>
        <w:numPr>
          <w:ilvl w:val="0"/>
          <w:numId w:val="4"/>
        </w:numPr>
        <w:ind w:firstLine="600" w:firstLineChars="200"/>
        <w:rPr>
          <w:rFonts w:hint="eastAsia" w:ascii="宋体" w:hAnsi="宋体" w:eastAsia="宋体" w:cs="宋体"/>
          <w:sz w:val="30"/>
          <w:szCs w:val="30"/>
        </w:rPr>
      </w:pPr>
      <w:r>
        <w:rPr>
          <w:rFonts w:hint="eastAsia" w:ascii="宋体" w:hAnsi="宋体" w:eastAsia="宋体" w:cs="宋体"/>
          <w:sz w:val="30"/>
          <w:szCs w:val="30"/>
        </w:rPr>
        <w:t>组织实施</w:t>
      </w:r>
    </w:p>
    <w:p>
      <w:pPr>
        <w:ind w:firstLine="588" w:firstLineChars="196"/>
        <w:rPr>
          <w:rFonts w:hint="eastAsia" w:ascii="宋体" w:hAnsi="宋体" w:eastAsia="宋体" w:cs="宋体"/>
          <w:sz w:val="30"/>
          <w:szCs w:val="30"/>
        </w:rPr>
      </w:pPr>
      <w:r>
        <w:rPr>
          <w:rFonts w:hint="eastAsia" w:ascii="宋体" w:hAnsi="宋体" w:eastAsia="宋体" w:cs="宋体"/>
          <w:sz w:val="30"/>
          <w:szCs w:val="30"/>
        </w:rPr>
        <w:t>20</w:t>
      </w:r>
      <w:r>
        <w:rPr>
          <w:rFonts w:hint="eastAsia" w:ascii="宋体" w:hAnsi="宋体" w:eastAsia="宋体" w:cs="宋体"/>
          <w:sz w:val="30"/>
          <w:szCs w:val="30"/>
          <w:lang w:val="en-US" w:eastAsia="zh-CN"/>
        </w:rPr>
        <w:t>21</w:t>
      </w:r>
      <w:r>
        <w:rPr>
          <w:rFonts w:hint="eastAsia" w:ascii="宋体" w:hAnsi="宋体" w:eastAsia="宋体" w:cs="宋体"/>
          <w:sz w:val="30"/>
          <w:szCs w:val="30"/>
        </w:rPr>
        <w:t>年</w:t>
      </w:r>
      <w:r>
        <w:rPr>
          <w:rFonts w:hint="eastAsia" w:ascii="宋体" w:hAnsi="宋体" w:eastAsia="宋体" w:cs="宋体"/>
          <w:sz w:val="30"/>
          <w:szCs w:val="30"/>
          <w:lang w:val="en-US" w:eastAsia="zh-CN"/>
        </w:rPr>
        <w:t>10</w:t>
      </w:r>
      <w:r>
        <w:rPr>
          <w:rFonts w:hint="eastAsia" w:ascii="宋体" w:hAnsi="宋体" w:eastAsia="宋体" w:cs="宋体"/>
          <w:sz w:val="30"/>
          <w:szCs w:val="30"/>
        </w:rPr>
        <w:t>月，我所绩效评价工作小组调阅项目单位相关资料、通过调查、核实、核算、询问、实地查验、问卷调查等方式对项目展开考评。</w:t>
      </w:r>
    </w:p>
    <w:p>
      <w:pPr>
        <w:ind w:firstLine="588" w:firstLineChars="196"/>
        <w:rPr>
          <w:rFonts w:hint="eastAsia" w:ascii="宋体" w:hAnsi="宋体" w:eastAsia="宋体" w:cs="宋体"/>
          <w:sz w:val="30"/>
          <w:szCs w:val="30"/>
        </w:rPr>
      </w:pPr>
      <w:r>
        <w:rPr>
          <w:rFonts w:hint="eastAsia" w:ascii="宋体" w:hAnsi="宋体" w:eastAsia="宋体" w:cs="宋体"/>
          <w:sz w:val="30"/>
          <w:szCs w:val="30"/>
        </w:rPr>
        <w:t>（1）资料收集</w:t>
      </w:r>
      <w:r>
        <w:rPr>
          <w:rFonts w:hint="eastAsia" w:ascii="宋体" w:hAnsi="宋体" w:eastAsia="宋体" w:cs="宋体"/>
          <w:strike w:val="0"/>
          <w:dstrike w:val="0"/>
          <w:color w:val="auto"/>
          <w:sz w:val="30"/>
          <w:szCs w:val="30"/>
          <w:lang w:eastAsia="zh-CN"/>
        </w:rPr>
        <w:t>，确定项目目标</w:t>
      </w:r>
      <w:r>
        <w:rPr>
          <w:rFonts w:hint="eastAsia" w:ascii="宋体" w:hAnsi="宋体" w:eastAsia="宋体" w:cs="宋体"/>
          <w:sz w:val="30"/>
          <w:szCs w:val="30"/>
          <w:lang w:eastAsia="zh-CN"/>
        </w:rPr>
        <w:t>。</w:t>
      </w:r>
      <w:r>
        <w:rPr>
          <w:rFonts w:hint="eastAsia" w:ascii="宋体" w:hAnsi="宋体" w:eastAsia="宋体" w:cs="宋体"/>
          <w:sz w:val="30"/>
          <w:szCs w:val="30"/>
        </w:rPr>
        <w:t>绩效评价工作小组搜集并认真学习研究了项目相关的政策性文件和业务文件、管理办法等</w:t>
      </w:r>
      <w:r>
        <w:rPr>
          <w:rFonts w:hint="eastAsia" w:ascii="宋体" w:hAnsi="宋体" w:eastAsia="宋体" w:cs="宋体"/>
          <w:sz w:val="30"/>
          <w:szCs w:val="30"/>
          <w:lang w:eastAsia="zh-CN"/>
        </w:rPr>
        <w:t>，进行认真研究。</w:t>
      </w:r>
    </w:p>
    <w:p>
      <w:pPr>
        <w:ind w:firstLine="588" w:firstLineChars="196"/>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2）核实账目资金</w:t>
      </w:r>
      <w:r>
        <w:rPr>
          <w:rFonts w:hint="eastAsia" w:ascii="宋体" w:hAnsi="宋体" w:eastAsia="宋体" w:cs="宋体"/>
          <w:sz w:val="30"/>
          <w:szCs w:val="30"/>
        </w:rPr>
        <w:t>。</w:t>
      </w:r>
    </w:p>
    <w:p>
      <w:pPr>
        <w:ind w:firstLine="588" w:firstLineChars="196"/>
        <w:rPr>
          <w:rFonts w:hint="eastAsia" w:ascii="宋体" w:hAnsi="宋体" w:eastAsia="宋体" w:cs="宋体"/>
          <w:sz w:val="30"/>
          <w:szCs w:val="30"/>
        </w:rPr>
      </w:pPr>
      <w:r>
        <w:rPr>
          <w:rFonts w:hint="eastAsia" w:ascii="宋体" w:hAnsi="宋体" w:eastAsia="宋体" w:cs="宋体"/>
          <w:sz w:val="30"/>
          <w:szCs w:val="30"/>
        </w:rPr>
        <w:t>（</w:t>
      </w:r>
      <w:r>
        <w:rPr>
          <w:rFonts w:hint="eastAsia" w:ascii="宋体" w:hAnsi="宋体" w:eastAsia="宋体" w:cs="宋体"/>
          <w:sz w:val="30"/>
          <w:szCs w:val="30"/>
          <w:lang w:val="en-US" w:eastAsia="zh-CN"/>
        </w:rPr>
        <w:t>3</w:t>
      </w:r>
      <w:r>
        <w:rPr>
          <w:rFonts w:hint="eastAsia" w:ascii="宋体" w:hAnsi="宋体" w:eastAsia="宋体" w:cs="宋体"/>
          <w:sz w:val="30"/>
          <w:szCs w:val="30"/>
        </w:rPr>
        <w:t>）实地</w:t>
      </w:r>
      <w:r>
        <w:rPr>
          <w:rFonts w:hint="eastAsia" w:ascii="宋体" w:hAnsi="宋体" w:eastAsia="宋体" w:cs="宋体"/>
          <w:sz w:val="30"/>
          <w:szCs w:val="30"/>
          <w:lang w:eastAsia="zh-CN"/>
        </w:rPr>
        <w:t>走访。</w:t>
      </w:r>
    </w:p>
    <w:p>
      <w:pPr>
        <w:ind w:firstLine="588" w:firstLineChars="196"/>
        <w:rPr>
          <w:rFonts w:hint="eastAsia" w:ascii="宋体" w:hAnsi="宋体" w:eastAsia="宋体" w:cs="宋体"/>
          <w:color w:val="auto"/>
          <w:sz w:val="30"/>
          <w:szCs w:val="30"/>
        </w:rPr>
      </w:pPr>
      <w:r>
        <w:rPr>
          <w:rFonts w:hint="eastAsia" w:ascii="宋体" w:hAnsi="宋体" w:eastAsia="宋体" w:cs="宋体"/>
          <w:sz w:val="30"/>
          <w:szCs w:val="30"/>
        </w:rPr>
        <w:t>（</w:t>
      </w:r>
      <w:r>
        <w:rPr>
          <w:rFonts w:hint="eastAsia" w:ascii="宋体" w:hAnsi="宋体" w:eastAsia="宋体" w:cs="宋体"/>
          <w:sz w:val="30"/>
          <w:szCs w:val="30"/>
          <w:lang w:val="en-US" w:eastAsia="zh-CN"/>
        </w:rPr>
        <w:t>4</w:t>
      </w:r>
      <w:r>
        <w:rPr>
          <w:rFonts w:hint="eastAsia" w:ascii="宋体" w:hAnsi="宋体" w:eastAsia="宋体" w:cs="宋体"/>
          <w:sz w:val="30"/>
          <w:szCs w:val="30"/>
        </w:rPr>
        <w:t>）调查问卷。采用了现场问卷调查</w:t>
      </w:r>
      <w:r>
        <w:rPr>
          <w:rFonts w:hint="eastAsia" w:ascii="宋体" w:hAnsi="宋体" w:eastAsia="宋体" w:cs="宋体"/>
          <w:color w:val="auto"/>
          <w:sz w:val="30"/>
          <w:szCs w:val="30"/>
        </w:rPr>
        <w:t>方式。</w:t>
      </w:r>
      <w:r>
        <w:rPr>
          <w:rFonts w:hint="eastAsia" w:ascii="宋体" w:hAnsi="宋体" w:eastAsia="宋体" w:cs="宋体"/>
          <w:color w:val="auto"/>
          <w:sz w:val="30"/>
          <w:szCs w:val="30"/>
          <w:lang w:eastAsia="zh-CN"/>
        </w:rPr>
        <w:t>调查问卷共</w:t>
      </w:r>
      <w:r>
        <w:rPr>
          <w:rFonts w:hint="eastAsia" w:ascii="宋体" w:hAnsi="宋体" w:eastAsia="宋体" w:cs="宋体"/>
          <w:color w:val="auto"/>
          <w:sz w:val="30"/>
          <w:szCs w:val="30"/>
          <w:lang w:val="en-US" w:eastAsia="zh-CN"/>
        </w:rPr>
        <w:t>10题，内容主要涉及到对</w:t>
      </w:r>
      <w:r>
        <w:rPr>
          <w:rFonts w:hint="eastAsia" w:ascii="宋体" w:hAnsi="宋体" w:eastAsia="宋体" w:cs="宋体"/>
          <w:sz w:val="30"/>
          <w:szCs w:val="30"/>
          <w:lang w:val="en-US" w:eastAsia="zh-CN"/>
        </w:rPr>
        <w:t>应急管理</w:t>
      </w:r>
      <w:r>
        <w:rPr>
          <w:rFonts w:hint="eastAsia" w:ascii="宋体" w:hAnsi="宋体" w:eastAsia="宋体" w:cs="宋体"/>
          <w:sz w:val="30"/>
          <w:szCs w:val="30"/>
        </w:rPr>
        <w:t>局</w:t>
      </w:r>
      <w:r>
        <w:rPr>
          <w:rFonts w:hint="eastAsia" w:ascii="宋体" w:hAnsi="宋体" w:eastAsia="宋体" w:cs="宋体"/>
          <w:sz w:val="30"/>
          <w:szCs w:val="30"/>
          <w:lang w:val="en-US" w:eastAsia="zh-CN"/>
        </w:rPr>
        <w:t>满意度回访</w:t>
      </w:r>
      <w:r>
        <w:rPr>
          <w:rFonts w:hint="eastAsia" w:ascii="宋体" w:hAnsi="宋体" w:eastAsia="宋体" w:cs="宋体"/>
          <w:color w:val="auto"/>
          <w:sz w:val="30"/>
          <w:szCs w:val="30"/>
          <w:lang w:eastAsia="zh-CN"/>
        </w:rPr>
        <w:t>等方面内容。</w:t>
      </w:r>
      <w:r>
        <w:rPr>
          <w:rFonts w:hint="eastAsia" w:ascii="宋体" w:hAnsi="宋体" w:eastAsia="宋体" w:cs="宋体"/>
          <w:color w:val="auto"/>
          <w:sz w:val="30"/>
          <w:szCs w:val="30"/>
          <w:lang w:val="en-US" w:eastAsia="zh-CN"/>
        </w:rPr>
        <w:t>发放调查问卷共20份，</w:t>
      </w:r>
      <w:r>
        <w:rPr>
          <w:rFonts w:hint="eastAsia" w:ascii="宋体" w:hAnsi="宋体" w:eastAsia="宋体" w:cs="宋体"/>
          <w:color w:val="auto"/>
          <w:sz w:val="30"/>
          <w:szCs w:val="30"/>
        </w:rPr>
        <w:t>回收有效问卷</w:t>
      </w:r>
      <w:r>
        <w:rPr>
          <w:rFonts w:hint="eastAsia" w:ascii="宋体" w:hAnsi="宋体" w:eastAsia="宋体" w:cs="宋体"/>
          <w:color w:val="auto"/>
          <w:sz w:val="30"/>
          <w:szCs w:val="30"/>
          <w:lang w:val="en-US" w:eastAsia="zh-CN"/>
        </w:rPr>
        <w:t>20人</w:t>
      </w:r>
      <w:r>
        <w:rPr>
          <w:rFonts w:hint="eastAsia" w:ascii="宋体" w:hAnsi="宋体" w:eastAsia="宋体" w:cs="宋体"/>
          <w:color w:val="auto"/>
          <w:sz w:val="30"/>
          <w:szCs w:val="30"/>
        </w:rPr>
        <w:t>/次，回收率100%。</w:t>
      </w:r>
    </w:p>
    <w:p>
      <w:pPr>
        <w:ind w:firstLine="600" w:firstLineChars="200"/>
        <w:rPr>
          <w:rFonts w:hint="eastAsia" w:ascii="宋体" w:hAnsi="宋体" w:eastAsia="宋体" w:cs="宋体"/>
          <w:bCs/>
          <w:sz w:val="30"/>
          <w:szCs w:val="30"/>
        </w:rPr>
      </w:pPr>
      <w:r>
        <w:rPr>
          <w:rFonts w:hint="eastAsia" w:ascii="宋体" w:hAnsi="宋体" w:eastAsia="宋体" w:cs="宋体"/>
          <w:bCs/>
          <w:sz w:val="30"/>
          <w:szCs w:val="30"/>
          <w:lang w:val="en-US" w:eastAsia="zh-CN"/>
        </w:rPr>
        <w:t>3</w:t>
      </w:r>
      <w:r>
        <w:rPr>
          <w:rFonts w:hint="eastAsia" w:ascii="宋体" w:hAnsi="宋体" w:eastAsia="宋体" w:cs="宋体"/>
          <w:bCs/>
          <w:sz w:val="30"/>
          <w:szCs w:val="30"/>
        </w:rPr>
        <w:t>、分析评价</w:t>
      </w:r>
    </w:p>
    <w:p>
      <w:pPr>
        <w:ind w:firstLine="600" w:firstLineChars="200"/>
        <w:rPr>
          <w:rFonts w:hint="eastAsia" w:ascii="宋体" w:hAnsi="宋体" w:eastAsia="宋体" w:cs="宋体"/>
          <w:b/>
          <w:bCs/>
          <w:sz w:val="30"/>
          <w:szCs w:val="30"/>
          <w:highlight w:val="none"/>
        </w:rPr>
      </w:pPr>
      <w:r>
        <w:rPr>
          <w:rFonts w:hint="eastAsia" w:ascii="宋体" w:hAnsi="宋体" w:eastAsia="宋体" w:cs="宋体"/>
          <w:sz w:val="30"/>
          <w:szCs w:val="30"/>
        </w:rPr>
        <w:t>对评价过程中收集的预算申请报告、财政预算批复、消防财务管理制度及办法等文件、内部制度、财务资料、财务数据、项目目标及完成情况等资料进行了归纳和汇总分析。依据设定的部门整体支出绩效评价指标体系，对资金投入中的预算配置，对预算执行、预算管理、资产管理过程，对职责履行、履职效益等绩效情况进行了评分，制订了绩效评价评分汇总表。根据设定的绩效评价指标体系制订了评价指标底稿，每个底</w:t>
      </w:r>
      <w:r>
        <w:rPr>
          <w:rFonts w:hint="eastAsia" w:ascii="宋体" w:hAnsi="宋体" w:eastAsia="宋体" w:cs="宋体"/>
          <w:sz w:val="30"/>
          <w:szCs w:val="30"/>
          <w:highlight w:val="none"/>
        </w:rPr>
        <w:t>稿均有扣分、得分依据、附件内容、评价人员意见</w:t>
      </w:r>
      <w:r>
        <w:rPr>
          <w:rFonts w:hint="eastAsia" w:ascii="宋体" w:hAnsi="宋体" w:eastAsia="宋体" w:cs="宋体"/>
          <w:sz w:val="30"/>
          <w:szCs w:val="30"/>
          <w:highlight w:val="none"/>
          <w:lang w:val="en-US" w:eastAsia="zh-CN"/>
        </w:rPr>
        <w:t>等</w:t>
      </w:r>
      <w:r>
        <w:rPr>
          <w:rFonts w:hint="eastAsia" w:ascii="宋体" w:hAnsi="宋体" w:eastAsia="宋体" w:cs="宋体"/>
          <w:sz w:val="30"/>
          <w:szCs w:val="30"/>
          <w:highlight w:val="none"/>
        </w:rPr>
        <w:t>。根据底稿汇总，形成了2020年云溪区</w:t>
      </w:r>
      <w:r>
        <w:rPr>
          <w:rFonts w:hint="eastAsia" w:ascii="宋体" w:hAnsi="宋体" w:eastAsia="宋体" w:cs="宋体"/>
          <w:sz w:val="30"/>
          <w:szCs w:val="30"/>
          <w:highlight w:val="none"/>
          <w:lang w:val="en-US" w:eastAsia="zh-CN"/>
        </w:rPr>
        <w:t>应急管理局</w:t>
      </w:r>
      <w:r>
        <w:rPr>
          <w:rFonts w:hint="eastAsia" w:ascii="宋体" w:hAnsi="宋体" w:eastAsia="宋体" w:cs="宋体"/>
          <w:sz w:val="30"/>
          <w:szCs w:val="30"/>
          <w:highlight w:val="none"/>
        </w:rPr>
        <w:t>部门整体支出绩效评价报告。</w:t>
      </w:r>
    </w:p>
    <w:p>
      <w:pPr>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三、部门整体支出和管理情况分析</w:t>
      </w:r>
    </w:p>
    <w:p>
      <w:pPr>
        <w:numPr>
          <w:ilvl w:val="0"/>
          <w:numId w:val="0"/>
        </w:numPr>
        <w:ind w:firstLine="560"/>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（一）部门</w:t>
      </w:r>
      <w:r>
        <w:rPr>
          <w:rFonts w:hint="eastAsia" w:ascii="宋体" w:hAnsi="宋体" w:eastAsia="宋体" w:cs="宋体"/>
          <w:b/>
          <w:bCs/>
          <w:sz w:val="30"/>
          <w:szCs w:val="30"/>
        </w:rPr>
        <w:t>整体支出</w:t>
      </w:r>
      <w:r>
        <w:rPr>
          <w:rFonts w:hint="eastAsia" w:ascii="宋体" w:hAnsi="宋体" w:eastAsia="宋体" w:cs="宋体"/>
          <w:b/>
          <w:bCs/>
          <w:sz w:val="30"/>
          <w:szCs w:val="30"/>
          <w:lang w:eastAsia="zh-CN"/>
        </w:rPr>
        <w:t>结构分析</w:t>
      </w:r>
    </w:p>
    <w:p>
      <w:pPr>
        <w:numPr>
          <w:ilvl w:val="0"/>
          <w:numId w:val="0"/>
        </w:numPr>
        <w:ind w:firstLine="560"/>
        <w:rPr>
          <w:rFonts w:hint="eastAsia" w:ascii="宋体" w:hAnsi="宋体" w:eastAsia="宋体" w:cs="宋体"/>
          <w:sz w:val="30"/>
          <w:szCs w:val="30"/>
          <w:highlight w:val="none"/>
          <w:lang w:val="en-US" w:eastAsia="zh-CN"/>
        </w:rPr>
      </w:pPr>
      <w:r>
        <w:rPr>
          <w:rFonts w:hint="eastAsia" w:ascii="宋体" w:hAnsi="宋体" w:eastAsia="宋体" w:cs="宋体"/>
          <w:sz w:val="30"/>
          <w:szCs w:val="30"/>
          <w:lang w:eastAsia="zh-CN"/>
        </w:rPr>
        <w:t>区</w:t>
      </w:r>
      <w:r>
        <w:rPr>
          <w:rFonts w:hint="eastAsia" w:ascii="宋体" w:hAnsi="宋体" w:eastAsia="宋体" w:cs="宋体"/>
          <w:sz w:val="30"/>
          <w:szCs w:val="30"/>
          <w:lang w:val="en-US" w:eastAsia="zh-CN"/>
        </w:rPr>
        <w:t>应</w:t>
      </w:r>
      <w:r>
        <w:rPr>
          <w:rFonts w:hint="eastAsia" w:ascii="宋体" w:hAnsi="宋体" w:eastAsia="宋体" w:cs="宋体"/>
          <w:color w:val="auto"/>
          <w:sz w:val="30"/>
          <w:szCs w:val="30"/>
          <w:lang w:val="en-US" w:eastAsia="zh-CN"/>
        </w:rPr>
        <w:t>急管理局</w:t>
      </w: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lang w:val="en-US" w:eastAsia="zh-CN"/>
        </w:rPr>
        <w:t>020年支出共计</w:t>
      </w:r>
      <w:r>
        <w:rPr>
          <w:rFonts w:hint="eastAsia" w:ascii="宋体" w:hAnsi="宋体" w:eastAsia="宋体" w:cs="宋体"/>
          <w:color w:val="auto"/>
          <w:sz w:val="30"/>
          <w:szCs w:val="30"/>
          <w:highlight w:val="none"/>
          <w:lang w:val="en-US" w:eastAsia="zh-CN"/>
        </w:rPr>
        <w:t>742.11万元</w:t>
      </w:r>
      <w:r>
        <w:rPr>
          <w:rFonts w:hint="eastAsia" w:ascii="宋体" w:hAnsi="宋体" w:eastAsia="宋体" w:cs="宋体"/>
          <w:color w:val="auto"/>
          <w:sz w:val="30"/>
          <w:szCs w:val="30"/>
          <w:lang w:val="en-US" w:eastAsia="zh-CN"/>
        </w:rPr>
        <w:t>，其中：</w:t>
      </w:r>
      <w:r>
        <w:rPr>
          <w:rFonts w:hint="eastAsia" w:ascii="宋体" w:hAnsi="宋体" w:eastAsia="宋体" w:cs="宋体"/>
          <w:b w:val="0"/>
          <w:bCs w:val="0"/>
          <w:color w:val="auto"/>
          <w:sz w:val="30"/>
          <w:szCs w:val="30"/>
          <w:lang w:val="en-US" w:eastAsia="zh-CN"/>
        </w:rPr>
        <w:t>基本支出</w:t>
      </w:r>
      <w:r>
        <w:rPr>
          <w:rFonts w:hint="eastAsia" w:ascii="宋体" w:hAnsi="宋体" w:eastAsia="宋体" w:cs="宋体"/>
          <w:color w:val="auto"/>
          <w:sz w:val="30"/>
          <w:szCs w:val="30"/>
          <w:highlight w:val="none"/>
          <w:lang w:val="en-US" w:eastAsia="zh-CN"/>
        </w:rPr>
        <w:t>431.17万元,</w:t>
      </w:r>
      <w:r>
        <w:rPr>
          <w:rFonts w:hint="eastAsia" w:ascii="宋体" w:hAnsi="宋体" w:eastAsia="宋体" w:cs="宋体"/>
          <w:b w:val="0"/>
          <w:bCs w:val="0"/>
          <w:color w:val="auto"/>
          <w:sz w:val="30"/>
          <w:szCs w:val="30"/>
          <w:lang w:val="en-US" w:eastAsia="zh-CN"/>
        </w:rPr>
        <w:t>占支出58%，</w:t>
      </w:r>
      <w:r>
        <w:rPr>
          <w:rFonts w:hint="eastAsia" w:ascii="宋体" w:hAnsi="宋体" w:eastAsia="宋体" w:cs="宋体"/>
          <w:color w:val="auto"/>
          <w:sz w:val="30"/>
          <w:szCs w:val="30"/>
          <w:highlight w:val="none"/>
          <w:lang w:val="en-US" w:eastAsia="zh-CN"/>
        </w:rPr>
        <w:t>项目支出310.94万元，</w:t>
      </w:r>
      <w:r>
        <w:rPr>
          <w:rFonts w:hint="eastAsia" w:ascii="宋体" w:hAnsi="宋体" w:eastAsia="宋体" w:cs="宋体"/>
          <w:b w:val="0"/>
          <w:bCs w:val="0"/>
          <w:color w:val="auto"/>
          <w:sz w:val="30"/>
          <w:szCs w:val="30"/>
          <w:lang w:val="en-US" w:eastAsia="zh-CN"/>
        </w:rPr>
        <w:t>占支出42%</w:t>
      </w:r>
      <w:r>
        <w:rPr>
          <w:rFonts w:hint="eastAsia" w:ascii="宋体" w:hAnsi="宋体" w:eastAsia="宋体" w:cs="宋体"/>
          <w:color w:val="auto"/>
          <w:sz w:val="30"/>
          <w:szCs w:val="30"/>
          <w:highlight w:val="none"/>
          <w:lang w:val="en-US" w:eastAsia="zh-CN"/>
        </w:rPr>
        <w:t>。</w:t>
      </w:r>
    </w:p>
    <w:p>
      <w:pPr>
        <w:numPr>
          <w:ilvl w:val="0"/>
          <w:numId w:val="5"/>
        </w:numPr>
        <w:ind w:firstLine="560"/>
        <w:rPr>
          <w:rFonts w:hint="eastAsia" w:ascii="宋体" w:hAnsi="宋体" w:eastAsia="宋体" w:cs="宋体"/>
          <w:b/>
          <w:bCs/>
          <w:i w:val="0"/>
          <w:color w:val="auto"/>
          <w:kern w:val="0"/>
          <w:sz w:val="30"/>
          <w:szCs w:val="30"/>
          <w:u w:val="none"/>
          <w:lang w:val="en-US" w:eastAsia="zh-CN" w:bidi="ar"/>
        </w:rPr>
      </w:pPr>
      <w:r>
        <w:rPr>
          <w:rFonts w:hint="eastAsia" w:ascii="宋体" w:hAnsi="宋体" w:eastAsia="宋体" w:cs="宋体"/>
          <w:b/>
          <w:bCs/>
          <w:i w:val="0"/>
          <w:color w:val="auto"/>
          <w:kern w:val="0"/>
          <w:sz w:val="30"/>
          <w:szCs w:val="30"/>
          <w:u w:val="none"/>
          <w:lang w:val="en-US" w:eastAsia="zh-CN" w:bidi="ar"/>
        </w:rPr>
        <w:t>基本支出标准及测算分析</w:t>
      </w:r>
    </w:p>
    <w:p>
      <w:pPr>
        <w:numPr>
          <w:ilvl w:val="0"/>
          <w:numId w:val="0"/>
        </w:numPr>
        <w:spacing w:line="360" w:lineRule="auto"/>
        <w:ind w:left="420" w:leftChars="0" w:firstLine="301" w:firstLineChars="100"/>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1、人员经费预算情况</w:t>
      </w:r>
    </w:p>
    <w:p>
      <w:pPr>
        <w:pStyle w:val="58"/>
        <w:rPr>
          <w:rFonts w:hint="eastAsia" w:ascii="宋体" w:hAnsi="宋体" w:eastAsia="宋体" w:cs="宋体"/>
          <w:color w:val="000000"/>
          <w:sz w:val="30"/>
          <w:szCs w:val="30"/>
          <w:highlight w:val="none"/>
        </w:rPr>
      </w:pPr>
      <w:r>
        <w:rPr>
          <w:rFonts w:hint="eastAsia" w:ascii="宋体" w:hAnsi="宋体" w:eastAsia="宋体" w:cs="宋体"/>
          <w:kern w:val="2"/>
          <w:sz w:val="30"/>
          <w:szCs w:val="30"/>
          <w:lang w:val="en-US" w:eastAsia="zh-CN" w:bidi="ar-SA"/>
        </w:rPr>
        <w:t xml:space="preserve">    按照云溪区2020年财政局年初批复的预算，云溪应急管理局全额编制33人，2020年财政预算基本支出173.12万元，</w:t>
      </w:r>
      <w:r>
        <w:rPr>
          <w:rFonts w:hint="eastAsia" w:ascii="宋体" w:hAnsi="宋体" w:cs="宋体"/>
          <w:kern w:val="2"/>
          <w:sz w:val="30"/>
          <w:szCs w:val="30"/>
          <w:lang w:val="en-US" w:eastAsia="zh-CN" w:bidi="ar-SA"/>
        </w:rPr>
        <w:t>人均</w:t>
      </w:r>
      <w:r>
        <w:rPr>
          <w:rFonts w:hint="eastAsia" w:ascii="宋体" w:hAnsi="宋体" w:eastAsia="宋体" w:cs="宋体"/>
          <w:kern w:val="2"/>
          <w:sz w:val="30"/>
          <w:szCs w:val="30"/>
          <w:lang w:val="en-US" w:eastAsia="zh-CN" w:bidi="ar-SA"/>
        </w:rPr>
        <w:t>人员经费预算5.25万元。</w:t>
      </w:r>
    </w:p>
    <w:p>
      <w:pPr>
        <w:spacing w:line="360" w:lineRule="auto"/>
        <w:ind w:firstLine="602" w:firstLineChars="200"/>
        <w:rPr>
          <w:rFonts w:hint="eastAsia" w:ascii="宋体" w:hAnsi="宋体" w:eastAsia="宋体" w:cs="宋体"/>
          <w:color w:val="000000"/>
          <w:sz w:val="30"/>
          <w:szCs w:val="30"/>
          <w:highlight w:val="none"/>
        </w:rPr>
      </w:pPr>
      <w:r>
        <w:rPr>
          <w:rFonts w:hint="eastAsia" w:ascii="宋体" w:hAnsi="宋体" w:eastAsia="宋体" w:cs="宋体"/>
          <w:b/>
          <w:bCs/>
          <w:color w:val="000000"/>
          <w:sz w:val="30"/>
          <w:szCs w:val="30"/>
          <w:highlight w:val="none"/>
        </w:rPr>
        <w:t>2、人员经费支出测算分析</w:t>
      </w:r>
    </w:p>
    <w:p>
      <w:pPr>
        <w:pStyle w:val="58"/>
        <w:ind w:firstLine="600" w:firstLineChars="200"/>
        <w:rPr>
          <w:rFonts w:hint="eastAsia" w:ascii="宋体" w:hAnsi="宋体" w:eastAsia="宋体" w:cs="宋体"/>
          <w:sz w:val="30"/>
          <w:szCs w:val="30"/>
          <w:lang w:val="en-US" w:eastAsia="zh-CN"/>
        </w:rPr>
      </w:pPr>
      <w:r>
        <w:rPr>
          <w:rFonts w:hint="eastAsia" w:ascii="宋体" w:hAnsi="宋体" w:eastAsia="宋体" w:cs="宋体"/>
          <w:b w:val="0"/>
          <w:bCs w:val="0"/>
          <w:color w:val="000000"/>
          <w:sz w:val="30"/>
          <w:szCs w:val="30"/>
          <w:highlight w:val="none"/>
        </w:rPr>
        <w:t>20</w:t>
      </w:r>
      <w:r>
        <w:rPr>
          <w:rFonts w:hint="eastAsia" w:ascii="宋体" w:hAnsi="宋体" w:eastAsia="宋体" w:cs="宋体"/>
          <w:b w:val="0"/>
          <w:bCs w:val="0"/>
          <w:color w:val="000000"/>
          <w:sz w:val="30"/>
          <w:szCs w:val="30"/>
          <w:highlight w:val="none"/>
          <w:lang w:val="en-US" w:eastAsia="zh-CN"/>
        </w:rPr>
        <w:t>20</w:t>
      </w:r>
      <w:r>
        <w:rPr>
          <w:rFonts w:hint="eastAsia" w:ascii="宋体" w:hAnsi="宋体" w:eastAsia="宋体" w:cs="宋体"/>
          <w:b w:val="0"/>
          <w:bCs w:val="0"/>
          <w:color w:val="000000"/>
          <w:sz w:val="30"/>
          <w:szCs w:val="30"/>
          <w:highlight w:val="none"/>
        </w:rPr>
        <w:t>年</w:t>
      </w:r>
      <w:r>
        <w:rPr>
          <w:rFonts w:hint="eastAsia" w:ascii="宋体" w:hAnsi="宋体" w:eastAsia="宋体" w:cs="宋体"/>
          <w:b w:val="0"/>
          <w:bCs w:val="0"/>
          <w:color w:val="000000"/>
          <w:sz w:val="30"/>
          <w:szCs w:val="30"/>
          <w:highlight w:val="none"/>
          <w:lang w:val="en-US" w:eastAsia="zh-CN"/>
        </w:rPr>
        <w:t>应急管理</w:t>
      </w:r>
      <w:r>
        <w:rPr>
          <w:rFonts w:hint="eastAsia" w:ascii="宋体" w:hAnsi="宋体" w:eastAsia="宋体" w:cs="宋体"/>
          <w:b w:val="0"/>
          <w:bCs w:val="0"/>
          <w:color w:val="000000"/>
          <w:sz w:val="30"/>
          <w:szCs w:val="30"/>
          <w:highlight w:val="none"/>
          <w:lang w:eastAsia="zh-CN"/>
        </w:rPr>
        <w:t>局</w:t>
      </w:r>
      <w:r>
        <w:rPr>
          <w:rFonts w:hint="eastAsia" w:ascii="宋体" w:hAnsi="宋体" w:eastAsia="宋体" w:cs="宋体"/>
          <w:b w:val="0"/>
          <w:bCs w:val="0"/>
          <w:color w:val="000000"/>
          <w:sz w:val="30"/>
          <w:szCs w:val="30"/>
          <w:highlight w:val="none"/>
        </w:rPr>
        <w:t>总支出为</w:t>
      </w:r>
      <w:r>
        <w:rPr>
          <w:rFonts w:hint="eastAsia" w:ascii="宋体" w:hAnsi="宋体" w:eastAsia="宋体" w:cs="宋体"/>
          <w:color w:val="auto"/>
          <w:sz w:val="30"/>
          <w:szCs w:val="30"/>
          <w:highlight w:val="none"/>
          <w:lang w:val="en-US" w:eastAsia="zh-CN"/>
        </w:rPr>
        <w:t>742.11</w:t>
      </w:r>
      <w:r>
        <w:rPr>
          <w:rFonts w:hint="eastAsia" w:ascii="宋体" w:hAnsi="宋体" w:eastAsia="宋体" w:cs="宋体"/>
          <w:b w:val="0"/>
          <w:bCs w:val="0"/>
          <w:sz w:val="30"/>
          <w:szCs w:val="30"/>
          <w:highlight w:val="none"/>
          <w:lang w:eastAsia="zh-CN"/>
        </w:rPr>
        <w:t>万</w:t>
      </w:r>
      <w:r>
        <w:rPr>
          <w:rFonts w:hint="eastAsia" w:ascii="宋体" w:hAnsi="宋体" w:eastAsia="宋体" w:cs="宋体"/>
          <w:b w:val="0"/>
          <w:bCs w:val="0"/>
          <w:color w:val="000000"/>
          <w:sz w:val="30"/>
          <w:szCs w:val="30"/>
          <w:highlight w:val="none"/>
        </w:rPr>
        <w:t>元，其中人员经费</w:t>
      </w:r>
      <w:r>
        <w:rPr>
          <w:rFonts w:hint="eastAsia" w:ascii="宋体" w:hAnsi="宋体" w:eastAsia="宋体" w:cs="宋体"/>
          <w:sz w:val="30"/>
          <w:szCs w:val="30"/>
          <w:lang w:val="en-US" w:eastAsia="zh-CN"/>
        </w:rPr>
        <w:t>307.65万</w:t>
      </w:r>
      <w:r>
        <w:rPr>
          <w:rFonts w:hint="eastAsia" w:ascii="宋体" w:hAnsi="宋体" w:eastAsia="宋体" w:cs="宋体"/>
          <w:b w:val="0"/>
          <w:bCs w:val="0"/>
          <w:color w:val="000000"/>
          <w:sz w:val="30"/>
          <w:szCs w:val="30"/>
          <w:highlight w:val="none"/>
        </w:rPr>
        <w:t>元，</w:t>
      </w:r>
      <w:r>
        <w:rPr>
          <w:rFonts w:hint="eastAsia" w:ascii="宋体" w:hAnsi="宋体" w:eastAsia="宋体" w:cs="宋体"/>
          <w:b w:val="0"/>
          <w:bCs w:val="0"/>
          <w:color w:val="000000"/>
          <w:sz w:val="30"/>
          <w:szCs w:val="30"/>
          <w:highlight w:val="none"/>
          <w:lang w:eastAsia="zh-CN"/>
        </w:rPr>
        <w:t>剔除</w:t>
      </w:r>
      <w:r>
        <w:rPr>
          <w:rFonts w:hint="eastAsia" w:ascii="宋体" w:hAnsi="宋体" w:eastAsia="宋体" w:cs="宋体"/>
          <w:b w:val="0"/>
          <w:bCs w:val="0"/>
          <w:color w:val="000000"/>
          <w:sz w:val="30"/>
          <w:szCs w:val="30"/>
          <w:highlight w:val="none"/>
          <w:lang w:val="en-US" w:eastAsia="zh-CN"/>
        </w:rPr>
        <w:t>抚恤金</w:t>
      </w:r>
      <w:r>
        <w:rPr>
          <w:rFonts w:hint="eastAsia" w:ascii="宋体" w:hAnsi="宋体" w:eastAsia="宋体" w:cs="宋体"/>
          <w:b w:val="0"/>
          <w:bCs w:val="0"/>
          <w:color w:val="000000"/>
          <w:sz w:val="30"/>
          <w:szCs w:val="30"/>
          <w:highlight w:val="none"/>
          <w:lang w:eastAsia="zh-CN"/>
        </w:rPr>
        <w:t>等对个人及家庭的补助支出</w:t>
      </w:r>
      <w:r>
        <w:rPr>
          <w:rFonts w:hint="eastAsia" w:ascii="宋体" w:hAnsi="宋体" w:eastAsia="宋体" w:cs="宋体"/>
          <w:b w:val="0"/>
          <w:bCs w:val="0"/>
          <w:color w:val="000000"/>
          <w:sz w:val="30"/>
          <w:szCs w:val="30"/>
          <w:highlight w:val="none"/>
          <w:lang w:val="en-US" w:eastAsia="zh-CN"/>
        </w:rPr>
        <w:t>21.15万元，</w:t>
      </w:r>
      <w:r>
        <w:rPr>
          <w:rFonts w:hint="eastAsia" w:ascii="宋体" w:hAnsi="宋体" w:eastAsia="宋体" w:cs="宋体"/>
          <w:kern w:val="0"/>
          <w:sz w:val="30"/>
          <w:szCs w:val="30"/>
          <w:lang w:val="en-US" w:eastAsia="zh-CN"/>
        </w:rPr>
        <w:t>区应急局人员经费合计286.5万元，</w:t>
      </w:r>
      <w:r>
        <w:rPr>
          <w:rFonts w:hint="eastAsia" w:ascii="宋体" w:hAnsi="宋体" w:eastAsia="宋体" w:cs="宋体"/>
          <w:b w:val="0"/>
          <w:bCs w:val="0"/>
          <w:color w:val="000000"/>
          <w:sz w:val="30"/>
          <w:szCs w:val="30"/>
          <w:highlight w:val="none"/>
          <w:lang w:eastAsia="zh-CN"/>
        </w:rPr>
        <w:t>按照在职职工</w:t>
      </w:r>
      <w:r>
        <w:rPr>
          <w:rFonts w:hint="eastAsia" w:ascii="宋体" w:hAnsi="宋体" w:cs="宋体"/>
          <w:b w:val="0"/>
          <w:bCs w:val="0"/>
          <w:color w:val="000000"/>
          <w:sz w:val="30"/>
          <w:szCs w:val="30"/>
          <w:highlight w:val="none"/>
          <w:lang w:val="en-US" w:eastAsia="zh-CN"/>
        </w:rPr>
        <w:t>28</w:t>
      </w:r>
      <w:r>
        <w:rPr>
          <w:rFonts w:hint="eastAsia" w:ascii="宋体" w:hAnsi="宋体" w:eastAsia="宋体" w:cs="宋体"/>
          <w:b w:val="0"/>
          <w:bCs w:val="0"/>
          <w:color w:val="000000"/>
          <w:sz w:val="30"/>
          <w:szCs w:val="30"/>
          <w:highlight w:val="none"/>
          <w:lang w:val="en-US" w:eastAsia="zh-CN"/>
        </w:rPr>
        <w:t>人计算，人均人员经费1</w:t>
      </w:r>
      <w:r>
        <w:rPr>
          <w:rFonts w:hint="eastAsia" w:ascii="宋体" w:hAnsi="宋体" w:cs="宋体"/>
          <w:b w:val="0"/>
          <w:bCs w:val="0"/>
          <w:color w:val="000000"/>
          <w:sz w:val="30"/>
          <w:szCs w:val="30"/>
          <w:highlight w:val="none"/>
          <w:lang w:val="en-US" w:eastAsia="zh-CN"/>
        </w:rPr>
        <w:t>0.23</w:t>
      </w:r>
      <w:r>
        <w:rPr>
          <w:rFonts w:hint="eastAsia" w:ascii="宋体" w:hAnsi="宋体" w:eastAsia="宋体" w:cs="宋体"/>
          <w:b w:val="0"/>
          <w:bCs w:val="0"/>
          <w:color w:val="000000"/>
          <w:sz w:val="30"/>
          <w:szCs w:val="30"/>
          <w:highlight w:val="none"/>
          <w:lang w:val="en-US" w:eastAsia="zh-CN"/>
        </w:rPr>
        <w:t>万元。</w:t>
      </w:r>
    </w:p>
    <w:p>
      <w:pPr>
        <w:numPr>
          <w:ilvl w:val="0"/>
          <w:numId w:val="0"/>
        </w:numPr>
        <w:ind w:firstLine="301" w:firstLineChars="100"/>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（三）部门整体支出使用情况及分析</w:t>
      </w:r>
    </w:p>
    <w:p>
      <w:pPr>
        <w:ind w:firstLine="600" w:firstLineChars="200"/>
        <w:rPr>
          <w:rFonts w:hint="eastAsia" w:ascii="宋体" w:hAnsi="宋体" w:eastAsia="宋体" w:cs="宋体"/>
          <w:b w:val="0"/>
          <w:bCs w:val="0"/>
          <w:color w:val="000000"/>
          <w:sz w:val="30"/>
          <w:szCs w:val="30"/>
          <w:highlight w:val="none"/>
          <w:lang w:val="en-US" w:eastAsia="zh-CN"/>
        </w:rPr>
      </w:pPr>
      <w:r>
        <w:rPr>
          <w:rFonts w:hint="eastAsia" w:ascii="宋体" w:hAnsi="宋体" w:eastAsia="宋体" w:cs="宋体"/>
          <w:b w:val="0"/>
          <w:bCs w:val="0"/>
          <w:color w:val="000000"/>
          <w:sz w:val="30"/>
          <w:szCs w:val="30"/>
          <w:highlight w:val="none"/>
        </w:rPr>
        <w:t>20</w:t>
      </w:r>
      <w:r>
        <w:rPr>
          <w:rFonts w:hint="eastAsia" w:ascii="宋体" w:hAnsi="宋体" w:eastAsia="宋体" w:cs="宋体"/>
          <w:b w:val="0"/>
          <w:bCs w:val="0"/>
          <w:color w:val="000000"/>
          <w:sz w:val="30"/>
          <w:szCs w:val="30"/>
          <w:highlight w:val="none"/>
          <w:lang w:val="en-US" w:eastAsia="zh-CN"/>
        </w:rPr>
        <w:t>20</w:t>
      </w:r>
      <w:r>
        <w:rPr>
          <w:rFonts w:hint="eastAsia" w:ascii="宋体" w:hAnsi="宋体" w:eastAsia="宋体" w:cs="宋体"/>
          <w:b w:val="0"/>
          <w:bCs w:val="0"/>
          <w:color w:val="000000"/>
          <w:sz w:val="30"/>
          <w:szCs w:val="30"/>
          <w:highlight w:val="none"/>
        </w:rPr>
        <w:t>年总支出为</w:t>
      </w:r>
      <w:r>
        <w:rPr>
          <w:rFonts w:hint="eastAsia" w:ascii="宋体" w:hAnsi="宋体" w:eastAsia="宋体" w:cs="宋体"/>
          <w:color w:val="auto"/>
          <w:sz w:val="30"/>
          <w:szCs w:val="30"/>
          <w:highlight w:val="none"/>
          <w:lang w:val="en-US" w:eastAsia="zh-CN"/>
        </w:rPr>
        <w:t>742.11</w:t>
      </w:r>
      <w:r>
        <w:rPr>
          <w:rFonts w:hint="eastAsia" w:ascii="宋体" w:hAnsi="宋体" w:eastAsia="宋体" w:cs="宋体"/>
          <w:b w:val="0"/>
          <w:bCs w:val="0"/>
          <w:sz w:val="30"/>
          <w:szCs w:val="30"/>
          <w:highlight w:val="none"/>
          <w:lang w:eastAsia="zh-CN"/>
        </w:rPr>
        <w:t>万</w:t>
      </w:r>
      <w:r>
        <w:rPr>
          <w:rFonts w:hint="eastAsia" w:ascii="宋体" w:hAnsi="宋体" w:eastAsia="宋体" w:cs="宋体"/>
          <w:b w:val="0"/>
          <w:bCs w:val="0"/>
          <w:color w:val="000000"/>
          <w:sz w:val="30"/>
          <w:szCs w:val="30"/>
          <w:highlight w:val="none"/>
        </w:rPr>
        <w:t>元，</w:t>
      </w:r>
      <w:r>
        <w:rPr>
          <w:rFonts w:hint="eastAsia" w:ascii="宋体" w:hAnsi="宋体" w:eastAsia="宋体" w:cs="宋体"/>
          <w:b w:val="0"/>
          <w:bCs w:val="0"/>
          <w:color w:val="000000"/>
          <w:sz w:val="30"/>
          <w:szCs w:val="30"/>
          <w:highlight w:val="none"/>
          <w:lang w:val="en-US" w:eastAsia="zh-CN"/>
        </w:rPr>
        <w:t>基本支出431.17万元，项目支出310.94万元；具体情况如下：</w:t>
      </w:r>
    </w:p>
    <w:p>
      <w:pPr>
        <w:ind w:firstLine="600" w:firstLineChars="200"/>
        <w:rPr>
          <w:rFonts w:hint="eastAsia" w:ascii="宋体" w:hAnsi="宋体" w:eastAsia="宋体" w:cs="宋体"/>
          <w:b w:val="0"/>
          <w:bCs w:val="0"/>
          <w:color w:val="000000"/>
          <w:sz w:val="30"/>
          <w:szCs w:val="30"/>
          <w:highlight w:val="none"/>
          <w:lang w:val="en-US" w:eastAsia="zh-CN"/>
        </w:rPr>
      </w:pPr>
      <w:r>
        <w:rPr>
          <w:rFonts w:hint="eastAsia" w:ascii="宋体" w:hAnsi="宋体" w:eastAsia="宋体" w:cs="宋体"/>
          <w:b w:val="0"/>
          <w:bCs w:val="0"/>
          <w:color w:val="000000"/>
          <w:sz w:val="30"/>
          <w:szCs w:val="30"/>
          <w:highlight w:val="none"/>
          <w:lang w:val="en-US" w:eastAsia="zh-CN"/>
        </w:rPr>
        <w:t>1.工资津补贴支出240.98万元，其中基本工资73.93万元，津贴补贴80.74万元，奖金26.98万元，伙食补助费8.23万元，绩效工资23.3万元，其他人员工资17.48万元，其他工资福利支出10.32万元，应发干部职工工资津补贴合计240.98万元，按照2020年在职干部职工</w:t>
      </w:r>
      <w:r>
        <w:rPr>
          <w:rFonts w:hint="eastAsia" w:ascii="宋体" w:hAnsi="宋体" w:cs="宋体"/>
          <w:b w:val="0"/>
          <w:bCs w:val="0"/>
          <w:color w:val="000000"/>
          <w:sz w:val="30"/>
          <w:szCs w:val="30"/>
          <w:highlight w:val="none"/>
          <w:lang w:val="en-US" w:eastAsia="zh-CN"/>
        </w:rPr>
        <w:t>28</w:t>
      </w:r>
      <w:r>
        <w:rPr>
          <w:rFonts w:hint="eastAsia" w:ascii="宋体" w:hAnsi="宋体" w:eastAsia="宋体" w:cs="宋体"/>
          <w:b w:val="0"/>
          <w:bCs w:val="0"/>
          <w:color w:val="000000"/>
          <w:sz w:val="30"/>
          <w:szCs w:val="30"/>
          <w:highlight w:val="none"/>
          <w:lang w:val="en-US" w:eastAsia="zh-CN"/>
        </w:rPr>
        <w:t>人计算，人均薪资</w:t>
      </w:r>
      <w:r>
        <w:rPr>
          <w:rFonts w:hint="eastAsia" w:ascii="宋体" w:hAnsi="宋体" w:cs="宋体"/>
          <w:b w:val="0"/>
          <w:bCs w:val="0"/>
          <w:color w:val="000000"/>
          <w:sz w:val="30"/>
          <w:szCs w:val="30"/>
          <w:highlight w:val="none"/>
          <w:lang w:val="en-US" w:eastAsia="zh-CN"/>
        </w:rPr>
        <w:t>8.6</w:t>
      </w:r>
      <w:r>
        <w:rPr>
          <w:rFonts w:hint="eastAsia" w:ascii="宋体" w:hAnsi="宋体" w:eastAsia="宋体" w:cs="宋体"/>
          <w:b w:val="0"/>
          <w:bCs w:val="0"/>
          <w:color w:val="000000"/>
          <w:sz w:val="30"/>
          <w:szCs w:val="30"/>
          <w:highlight w:val="none"/>
          <w:lang w:val="en-US" w:eastAsia="zh-CN"/>
        </w:rPr>
        <w:t>万元。</w:t>
      </w:r>
    </w:p>
    <w:p>
      <w:pPr>
        <w:ind w:firstLine="600" w:firstLineChars="200"/>
        <w:rPr>
          <w:rFonts w:hint="eastAsia" w:ascii="宋体" w:hAnsi="宋体" w:eastAsia="宋体" w:cs="宋体"/>
          <w:b w:val="0"/>
          <w:bCs w:val="0"/>
          <w:color w:val="000000"/>
          <w:sz w:val="30"/>
          <w:szCs w:val="30"/>
          <w:highlight w:val="none"/>
          <w:lang w:val="en-US" w:eastAsia="zh-CN"/>
        </w:rPr>
      </w:pPr>
      <w:r>
        <w:rPr>
          <w:rFonts w:hint="eastAsia" w:ascii="宋体" w:hAnsi="宋体" w:eastAsia="宋体" w:cs="宋体"/>
          <w:b w:val="0"/>
          <w:bCs w:val="0"/>
          <w:color w:val="000000"/>
          <w:sz w:val="30"/>
          <w:szCs w:val="30"/>
          <w:highlight w:val="none"/>
          <w:lang w:val="en-US" w:eastAsia="zh-CN"/>
        </w:rPr>
        <w:t>2.社会保障支出45.52万元，其中机关事业单位基本养老保险缴费24.71万元，职业年金缴费2.5万元，职工基本医疗保险缴费15.18万元，其他社会保障缴费0.51万元，住房公积金2.62万元，按照2020年在职干部职工</w:t>
      </w:r>
      <w:r>
        <w:rPr>
          <w:rFonts w:hint="eastAsia" w:ascii="宋体" w:hAnsi="宋体" w:cs="宋体"/>
          <w:b w:val="0"/>
          <w:bCs w:val="0"/>
          <w:color w:val="000000"/>
          <w:sz w:val="30"/>
          <w:szCs w:val="30"/>
          <w:highlight w:val="none"/>
          <w:lang w:val="en-US" w:eastAsia="zh-CN"/>
        </w:rPr>
        <w:t>28</w:t>
      </w:r>
      <w:r>
        <w:rPr>
          <w:rFonts w:hint="eastAsia" w:ascii="宋体" w:hAnsi="宋体" w:eastAsia="宋体" w:cs="宋体"/>
          <w:b w:val="0"/>
          <w:bCs w:val="0"/>
          <w:color w:val="000000"/>
          <w:sz w:val="30"/>
          <w:szCs w:val="30"/>
          <w:highlight w:val="none"/>
          <w:lang w:val="en-US" w:eastAsia="zh-CN"/>
        </w:rPr>
        <w:t>人计算，人均社保支出</w:t>
      </w:r>
      <w:r>
        <w:rPr>
          <w:rFonts w:hint="eastAsia" w:ascii="宋体" w:hAnsi="宋体" w:cs="宋体"/>
          <w:b w:val="0"/>
          <w:bCs w:val="0"/>
          <w:color w:val="000000"/>
          <w:sz w:val="30"/>
          <w:szCs w:val="30"/>
          <w:highlight w:val="none"/>
          <w:lang w:val="en-US" w:eastAsia="zh-CN"/>
        </w:rPr>
        <w:t>1.62</w:t>
      </w:r>
      <w:r>
        <w:rPr>
          <w:rFonts w:hint="eastAsia" w:ascii="宋体" w:hAnsi="宋体" w:eastAsia="宋体" w:cs="宋体"/>
          <w:b w:val="0"/>
          <w:bCs w:val="0"/>
          <w:color w:val="000000"/>
          <w:sz w:val="30"/>
          <w:szCs w:val="30"/>
          <w:highlight w:val="none"/>
          <w:lang w:val="en-US" w:eastAsia="zh-CN"/>
        </w:rPr>
        <w:t>万元。</w:t>
      </w:r>
    </w:p>
    <w:p>
      <w:pPr>
        <w:ind w:firstLine="600" w:firstLineChars="200"/>
        <w:rPr>
          <w:rFonts w:hint="eastAsia" w:ascii="宋体" w:hAnsi="宋体" w:eastAsia="宋体" w:cs="宋体"/>
          <w:b w:val="0"/>
          <w:bCs w:val="0"/>
          <w:color w:val="000000"/>
          <w:sz w:val="30"/>
          <w:szCs w:val="30"/>
          <w:highlight w:val="none"/>
          <w:lang w:val="en-US" w:eastAsia="zh-CN"/>
        </w:rPr>
      </w:pPr>
      <w:r>
        <w:rPr>
          <w:rFonts w:hint="eastAsia" w:ascii="宋体" w:hAnsi="宋体" w:eastAsia="宋体" w:cs="宋体"/>
          <w:b w:val="0"/>
          <w:bCs w:val="0"/>
          <w:color w:val="000000"/>
          <w:sz w:val="30"/>
          <w:szCs w:val="30"/>
          <w:highlight w:val="none"/>
          <w:lang w:val="en-US" w:eastAsia="zh-CN"/>
        </w:rPr>
        <w:t>3.对个人及家庭的补助支出21.15万元，其中抚恤金19.83万元，生活补助0.48万元</w:t>
      </w:r>
      <w:r>
        <w:rPr>
          <w:rFonts w:hint="eastAsia" w:ascii="宋体" w:hAnsi="宋体" w:cs="宋体"/>
          <w:b w:val="0"/>
          <w:bCs w:val="0"/>
          <w:color w:val="000000"/>
          <w:sz w:val="30"/>
          <w:szCs w:val="30"/>
          <w:highlight w:val="none"/>
          <w:lang w:val="en-US" w:eastAsia="zh-CN"/>
        </w:rPr>
        <w:t>，其他对个人和家庭的补助支出0.83万元</w:t>
      </w:r>
      <w:r>
        <w:rPr>
          <w:rFonts w:hint="eastAsia" w:ascii="宋体" w:hAnsi="宋体" w:eastAsia="宋体" w:cs="宋体"/>
          <w:b w:val="0"/>
          <w:bCs w:val="0"/>
          <w:color w:val="000000"/>
          <w:sz w:val="30"/>
          <w:szCs w:val="30"/>
          <w:highlight w:val="none"/>
          <w:lang w:val="en-US" w:eastAsia="zh-CN"/>
        </w:rPr>
        <w:t>。</w:t>
      </w:r>
    </w:p>
    <w:p>
      <w:pPr>
        <w:pStyle w:val="2"/>
        <w:ind w:left="0" w:leftChars="0" w:firstLine="0" w:firstLineChars="0"/>
        <w:rPr>
          <w:rFonts w:hint="eastAsia" w:ascii="宋体" w:hAnsi="宋体" w:eastAsia="宋体" w:cs="宋体"/>
          <w:b w:val="0"/>
          <w:bCs w:val="0"/>
          <w:color w:val="000000"/>
          <w:kern w:val="2"/>
          <w:sz w:val="30"/>
          <w:szCs w:val="30"/>
          <w:highlight w:val="none"/>
          <w:lang w:val="en-US" w:eastAsia="zh-CN" w:bidi="ar-SA"/>
        </w:rPr>
      </w:pPr>
      <w:r>
        <w:rPr>
          <w:rFonts w:hint="eastAsia" w:ascii="宋体" w:hAnsi="宋体" w:eastAsia="宋体" w:cs="宋体"/>
          <w:b w:val="0"/>
          <w:bCs w:val="0"/>
          <w:color w:val="000000"/>
          <w:kern w:val="2"/>
          <w:sz w:val="30"/>
          <w:szCs w:val="30"/>
          <w:highlight w:val="none"/>
          <w:lang w:val="en-US" w:eastAsia="zh-CN" w:bidi="ar-SA"/>
        </w:rPr>
        <w:t xml:space="preserve">    4.其他支出9.31万元，其中固定资产折旧费7.93万元，其他支出1.38万元。</w:t>
      </w:r>
    </w:p>
    <w:p>
      <w:pPr>
        <w:ind w:firstLine="600" w:firstLineChars="200"/>
        <w:rPr>
          <w:rFonts w:hint="eastAsia" w:ascii="宋体" w:hAnsi="宋体" w:eastAsia="宋体" w:cs="宋体"/>
          <w:b w:val="0"/>
          <w:bCs w:val="0"/>
          <w:color w:val="000000"/>
          <w:sz w:val="30"/>
          <w:szCs w:val="30"/>
          <w:highlight w:val="none"/>
          <w:lang w:val="en-US" w:eastAsia="zh-CN"/>
        </w:rPr>
      </w:pPr>
      <w:r>
        <w:rPr>
          <w:rFonts w:hint="eastAsia" w:ascii="宋体" w:hAnsi="宋体" w:eastAsia="宋体" w:cs="宋体"/>
          <w:b w:val="0"/>
          <w:bCs w:val="0"/>
          <w:color w:val="000000"/>
          <w:sz w:val="30"/>
          <w:szCs w:val="30"/>
          <w:highlight w:val="none"/>
          <w:lang w:val="en-US" w:eastAsia="zh-CN"/>
        </w:rPr>
        <w:t>5.公用经费支出114.21万元，其中办公费7.54万元，印刷费1.08万元，水费0.34万元，电费9.91万元，邮电费4.66万元，误餐费5.31万元，差旅费3.64万元，维修（护）费16.04万元，租赁费3.06万元，会议费0.16万元，培训费0.61万元，公务接待费1.07万元，广告制作费3.99万元，食堂费用1.66万元，党建开支1.69万元，劳务费8.79万元，委托业务费2.7万元，工会经费15万元，公务用车运行维护费0.52万元，其他交通费用1.62万元，其他商品和服务支出24.82万元。</w:t>
      </w:r>
    </w:p>
    <w:p>
      <w:pPr>
        <w:numPr>
          <w:ilvl w:val="0"/>
          <w:numId w:val="0"/>
        </w:numPr>
        <w:ind w:firstLine="600" w:firstLineChars="200"/>
        <w:rPr>
          <w:rFonts w:hint="eastAsia" w:ascii="宋体" w:hAnsi="宋体" w:eastAsia="宋体" w:cs="宋体"/>
          <w:b/>
          <w:bCs/>
          <w:sz w:val="30"/>
          <w:szCs w:val="30"/>
          <w:lang w:val="en-US" w:eastAsia="zh-CN"/>
        </w:rPr>
      </w:pPr>
      <w:r>
        <w:rPr>
          <w:rFonts w:hint="eastAsia" w:ascii="宋体" w:hAnsi="宋体" w:eastAsia="宋体" w:cs="宋体"/>
          <w:b w:val="0"/>
          <w:bCs w:val="0"/>
          <w:color w:val="000000"/>
          <w:sz w:val="30"/>
          <w:szCs w:val="30"/>
          <w:highlight w:val="none"/>
          <w:lang w:val="en-US" w:eastAsia="zh-CN"/>
        </w:rPr>
        <w:t>6.项目支出310.94万元，其中印刷费5.3万元，水费0.08万元，电费0.5万元，差旅费2.76万元，维修（护）费0.04万元，会议费1.45万元，培训费0.2万元，公务接待费0.9万元，专用材料费0.21万元，误餐费3.22万元，食堂开支1.62万元，广告制作费1.92万元，被装购置费9.25万元，劳务费12.44万元，委托业务费25万元，其他商品和服务支出238.65万元，对个人和家庭的补助支出0.4万元，其他支出7万元。</w:t>
      </w:r>
    </w:p>
    <w:p>
      <w:pPr>
        <w:ind w:firstLine="301" w:firstLineChars="100"/>
        <w:rPr>
          <w:rFonts w:hint="eastAsia" w:ascii="宋体" w:hAnsi="宋体" w:eastAsia="宋体" w:cs="宋体"/>
          <w:b/>
          <w:bCs/>
          <w:sz w:val="30"/>
          <w:szCs w:val="30"/>
        </w:rPr>
      </w:pPr>
      <w:r>
        <w:rPr>
          <w:rFonts w:hint="eastAsia" w:ascii="宋体" w:hAnsi="宋体" w:eastAsia="宋体" w:cs="宋体"/>
          <w:b/>
          <w:bCs/>
          <w:sz w:val="30"/>
          <w:szCs w:val="30"/>
        </w:rPr>
        <w:t>（</w:t>
      </w:r>
      <w:r>
        <w:rPr>
          <w:rFonts w:hint="eastAsia" w:ascii="宋体" w:hAnsi="宋体" w:eastAsia="宋体" w:cs="宋体"/>
          <w:b/>
          <w:bCs/>
          <w:sz w:val="30"/>
          <w:szCs w:val="30"/>
          <w:lang w:eastAsia="zh-CN"/>
        </w:rPr>
        <w:t>四</w:t>
      </w:r>
      <w:r>
        <w:rPr>
          <w:rFonts w:hint="eastAsia" w:ascii="宋体" w:hAnsi="宋体" w:eastAsia="宋体" w:cs="宋体"/>
          <w:b/>
          <w:bCs/>
          <w:sz w:val="30"/>
          <w:szCs w:val="30"/>
        </w:rPr>
        <w:t>）部门整体支出管理情况分析</w:t>
      </w:r>
    </w:p>
    <w:p>
      <w:pPr>
        <w:pStyle w:val="5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textAlignment w:val="auto"/>
        <w:rPr>
          <w:rFonts w:hint="eastAsia" w:ascii="宋体" w:hAnsi="宋体" w:eastAsia="宋体" w:cs="宋体"/>
          <w:b w:val="0"/>
          <w:bCs w:val="0"/>
          <w:color w:val="000000"/>
          <w:kern w:val="2"/>
          <w:sz w:val="30"/>
          <w:szCs w:val="30"/>
          <w:highlight w:val="none"/>
          <w:lang w:val="en-US" w:eastAsia="zh-CN" w:bidi="ar-SA"/>
        </w:rPr>
      </w:pPr>
      <w:r>
        <w:rPr>
          <w:rFonts w:hint="eastAsia" w:ascii="宋体" w:hAnsi="宋体" w:eastAsia="宋体" w:cs="宋体"/>
          <w:sz w:val="30"/>
          <w:szCs w:val="30"/>
        </w:rPr>
        <w:t>1、</w:t>
      </w:r>
      <w:r>
        <w:rPr>
          <w:rFonts w:hint="eastAsia" w:ascii="宋体" w:hAnsi="宋体" w:eastAsia="宋体" w:cs="宋体"/>
          <w:b w:val="0"/>
          <w:bCs w:val="0"/>
          <w:color w:val="000000"/>
          <w:kern w:val="2"/>
          <w:sz w:val="30"/>
          <w:szCs w:val="30"/>
          <w:highlight w:val="none"/>
          <w:lang w:val="en-US" w:eastAsia="zh-CN" w:bidi="ar-SA"/>
        </w:rPr>
        <w:t>财务管理：严格执行单位预算，坚持量入为出、保证重点、兼顾一般和厉行节约，制止奢侈浪费。严格遵守公务卡管理制度，积极推行公务卡支付方式。严格执行政府采购各项规定。严格执行《党政机关厉行节约反对浪费条例》。逐步实行费用开支年度公示。</w:t>
      </w:r>
    </w:p>
    <w:p>
      <w:pPr>
        <w:ind w:firstLine="600" w:firstLineChars="200"/>
        <w:rPr>
          <w:rFonts w:hint="eastAsia" w:ascii="宋体" w:hAnsi="宋体" w:eastAsia="宋体" w:cs="宋体"/>
          <w:b w:val="0"/>
          <w:bCs w:val="0"/>
          <w:color w:val="000000"/>
          <w:kern w:val="2"/>
          <w:sz w:val="30"/>
          <w:szCs w:val="30"/>
          <w:highlight w:val="none"/>
          <w:lang w:val="en-US" w:eastAsia="zh-CN" w:bidi="ar-SA"/>
        </w:rPr>
      </w:pPr>
      <w:r>
        <w:rPr>
          <w:rFonts w:hint="eastAsia" w:ascii="宋体" w:hAnsi="宋体" w:eastAsia="宋体" w:cs="宋体"/>
          <w:b w:val="0"/>
          <w:bCs w:val="0"/>
          <w:color w:val="000000"/>
          <w:kern w:val="2"/>
          <w:sz w:val="30"/>
          <w:szCs w:val="30"/>
          <w:highlight w:val="none"/>
          <w:lang w:val="en-US" w:eastAsia="zh-CN" w:bidi="ar-SA"/>
        </w:rPr>
        <w:t>2、公务消费基本实行刷卡消费，刷卡率约100%，达到了本年度公务卡刷卡率要求。</w:t>
      </w:r>
    </w:p>
    <w:p>
      <w:pPr>
        <w:snapToGrid w:val="0"/>
        <w:spacing w:line="620" w:lineRule="exact"/>
        <w:jc w:val="left"/>
        <w:rPr>
          <w:rFonts w:hint="eastAsia" w:ascii="宋体" w:hAnsi="宋体" w:eastAsia="宋体" w:cs="宋体"/>
          <w:b w:val="0"/>
          <w:bCs w:val="0"/>
          <w:color w:val="000000"/>
          <w:kern w:val="2"/>
          <w:sz w:val="30"/>
          <w:szCs w:val="30"/>
          <w:highlight w:val="none"/>
          <w:lang w:val="en-US" w:eastAsia="zh-CN" w:bidi="ar-SA"/>
        </w:rPr>
      </w:pPr>
      <w:r>
        <w:rPr>
          <w:rFonts w:hint="eastAsia" w:ascii="宋体" w:hAnsi="宋体" w:eastAsia="宋体" w:cs="宋体"/>
          <w:b w:val="0"/>
          <w:bCs w:val="0"/>
          <w:color w:val="000000"/>
          <w:kern w:val="2"/>
          <w:sz w:val="30"/>
          <w:szCs w:val="30"/>
          <w:highlight w:val="none"/>
          <w:lang w:val="en-US" w:eastAsia="zh-CN" w:bidi="ar-SA"/>
        </w:rPr>
        <w:t xml:space="preserve">    3、整体绩效目标管理及绩效自评情况。根据云溪区应急管理局提供的《</w:t>
      </w:r>
      <w:r>
        <w:rPr>
          <w:rFonts w:hint="eastAsia" w:ascii="宋体" w:hAnsi="宋体" w:eastAsia="宋体" w:cs="宋体"/>
          <w:bCs/>
          <w:sz w:val="30"/>
          <w:szCs w:val="30"/>
        </w:rPr>
        <w:t>岳阳市云溪区</w:t>
      </w:r>
      <w:r>
        <w:rPr>
          <w:rFonts w:hint="eastAsia" w:ascii="宋体" w:hAnsi="宋体" w:eastAsia="宋体" w:cs="宋体"/>
          <w:bCs/>
          <w:sz w:val="30"/>
          <w:szCs w:val="30"/>
          <w:lang w:val="en-US" w:eastAsia="zh-CN"/>
        </w:rPr>
        <w:t>2020</w:t>
      </w:r>
      <w:r>
        <w:rPr>
          <w:rFonts w:hint="eastAsia" w:ascii="宋体" w:hAnsi="宋体" w:eastAsia="宋体" w:cs="宋体"/>
          <w:bCs/>
          <w:sz w:val="30"/>
          <w:szCs w:val="30"/>
        </w:rPr>
        <w:t>年度部</w:t>
      </w:r>
      <w:r>
        <w:rPr>
          <w:rFonts w:hint="eastAsia" w:ascii="宋体" w:hAnsi="宋体" w:eastAsia="宋体" w:cs="宋体"/>
          <w:bCs/>
          <w:sz w:val="30"/>
          <w:szCs w:val="30"/>
          <w:lang w:val="en-US" w:eastAsia="zh-CN"/>
        </w:rPr>
        <w:t>门</w:t>
      </w:r>
      <w:r>
        <w:rPr>
          <w:rFonts w:hint="eastAsia" w:ascii="宋体" w:hAnsi="宋体" w:eastAsia="宋体" w:cs="宋体"/>
          <w:bCs/>
          <w:sz w:val="30"/>
          <w:szCs w:val="30"/>
        </w:rPr>
        <w:t>整体支出绩效评价自评报告</w:t>
      </w:r>
      <w:r>
        <w:rPr>
          <w:rFonts w:hint="eastAsia" w:ascii="宋体" w:hAnsi="宋体" w:eastAsia="宋体" w:cs="宋体"/>
          <w:b w:val="0"/>
          <w:bCs w:val="0"/>
          <w:color w:val="000000"/>
          <w:kern w:val="2"/>
          <w:sz w:val="30"/>
          <w:szCs w:val="30"/>
          <w:highlight w:val="none"/>
          <w:lang w:val="en-US" w:eastAsia="zh-CN" w:bidi="ar-SA"/>
        </w:rPr>
        <w:t>》，自评得分93.9分。</w:t>
      </w:r>
    </w:p>
    <w:p>
      <w:pPr>
        <w:ind w:firstLine="600" w:firstLineChars="200"/>
        <w:rPr>
          <w:rFonts w:hint="eastAsia" w:ascii="宋体" w:hAnsi="宋体" w:eastAsia="宋体" w:cs="宋体"/>
          <w:color w:val="auto"/>
          <w:sz w:val="30"/>
          <w:szCs w:val="30"/>
          <w:lang w:val="en-US" w:eastAsia="zh-CN"/>
        </w:rPr>
      </w:pPr>
      <w:r>
        <w:rPr>
          <w:rFonts w:hint="eastAsia" w:ascii="宋体" w:hAnsi="宋体" w:eastAsia="宋体" w:cs="宋体"/>
          <w:sz w:val="30"/>
          <w:szCs w:val="30"/>
        </w:rPr>
        <w:t>4、预决算信息公开和三公经费预\决算公开情况。2020年度对部门预算</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决算</w:t>
      </w:r>
      <w:r>
        <w:rPr>
          <w:rFonts w:hint="eastAsia" w:ascii="宋体" w:hAnsi="宋体" w:eastAsia="宋体" w:cs="宋体"/>
          <w:sz w:val="30"/>
          <w:szCs w:val="30"/>
        </w:rPr>
        <w:t>信息和三公经费预算信息在相关媒体</w:t>
      </w:r>
      <w:r>
        <w:rPr>
          <w:rFonts w:hint="eastAsia" w:ascii="宋体" w:hAnsi="宋体" w:eastAsia="宋体" w:cs="宋体"/>
          <w:sz w:val="30"/>
          <w:szCs w:val="30"/>
          <w:lang w:val="en-US" w:eastAsia="zh-CN"/>
        </w:rPr>
        <w:t>均</w:t>
      </w:r>
      <w:r>
        <w:rPr>
          <w:rFonts w:hint="eastAsia" w:ascii="宋体" w:hAnsi="宋体" w:eastAsia="宋体" w:cs="宋体"/>
          <w:sz w:val="30"/>
          <w:szCs w:val="30"/>
        </w:rPr>
        <w:t>有公开</w:t>
      </w:r>
      <w:r>
        <w:rPr>
          <w:rFonts w:hint="eastAsia" w:ascii="宋体" w:hAnsi="宋体" w:eastAsia="宋体" w:cs="宋体"/>
          <w:color w:val="1F497D"/>
          <w:sz w:val="30"/>
          <w:szCs w:val="30"/>
        </w:rPr>
        <w:t>。</w:t>
      </w:r>
    </w:p>
    <w:p>
      <w:pPr>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四、整体支出绩效目标实现情况</w:t>
      </w:r>
    </w:p>
    <w:p>
      <w:pPr>
        <w:ind w:firstLine="602" w:firstLineChars="200"/>
        <w:rPr>
          <w:rFonts w:hint="eastAsia" w:ascii="宋体" w:hAnsi="宋体" w:eastAsia="宋体" w:cs="宋体"/>
          <w:sz w:val="30"/>
          <w:szCs w:val="30"/>
        </w:rPr>
      </w:pPr>
      <w:r>
        <w:rPr>
          <w:rFonts w:hint="eastAsia" w:ascii="宋体" w:hAnsi="宋体" w:eastAsia="宋体" w:cs="宋体"/>
          <w:b/>
          <w:bCs/>
          <w:sz w:val="30"/>
          <w:szCs w:val="30"/>
        </w:rPr>
        <w:t>（一）预算配置情况：</w:t>
      </w:r>
    </w:p>
    <w:p>
      <w:pPr>
        <w:pStyle w:val="2"/>
        <w:rPr>
          <w:rFonts w:hint="eastAsia" w:ascii="宋体" w:hAnsi="宋体" w:eastAsia="宋体" w:cs="宋体"/>
          <w:sz w:val="30"/>
          <w:szCs w:val="30"/>
          <w:lang w:val="en-US" w:eastAsia="zh-CN"/>
        </w:rPr>
      </w:pPr>
      <w:r>
        <w:rPr>
          <w:rFonts w:hint="eastAsia" w:ascii="宋体" w:hAnsi="宋体" w:eastAsia="宋体" w:cs="宋体"/>
          <w:b/>
          <w:bCs/>
          <w:sz w:val="30"/>
          <w:szCs w:val="30"/>
        </w:rPr>
        <w:t>1、财政供养人员控制率</w:t>
      </w:r>
      <w:r>
        <w:rPr>
          <w:rFonts w:hint="eastAsia" w:ascii="宋体" w:hAnsi="宋体" w:eastAsia="宋体" w:cs="宋体"/>
          <w:sz w:val="30"/>
          <w:szCs w:val="30"/>
        </w:rPr>
        <w:t>：</w:t>
      </w:r>
      <w:r>
        <w:rPr>
          <w:rFonts w:hint="eastAsia" w:ascii="宋体" w:hAnsi="宋体" w:eastAsia="宋体" w:cs="宋体"/>
          <w:sz w:val="30"/>
          <w:szCs w:val="30"/>
          <w:lang w:val="en-US" w:eastAsia="zh-CN"/>
        </w:rPr>
        <w:t>根据</w:t>
      </w:r>
      <w:r>
        <w:rPr>
          <w:rFonts w:hint="eastAsia" w:ascii="宋体" w:hAnsi="宋体" w:eastAsia="宋体" w:cs="宋体"/>
          <w:color w:val="auto"/>
          <w:sz w:val="30"/>
          <w:szCs w:val="30"/>
          <w:lang w:val="en-US" w:eastAsia="zh-CN"/>
        </w:rPr>
        <w:t>区应急管理局提供的《2020年应急管理局预算批复表》中的《单位基本情况表》</w:t>
      </w:r>
      <w:r>
        <w:rPr>
          <w:rFonts w:hint="eastAsia" w:ascii="宋体" w:hAnsi="宋体" w:eastAsia="宋体" w:cs="宋体"/>
          <w:sz w:val="30"/>
          <w:szCs w:val="30"/>
          <w:lang w:val="en-US" w:eastAsia="zh-CN"/>
        </w:rPr>
        <w:t>，2020年</w:t>
      </w:r>
      <w:r>
        <w:rPr>
          <w:rFonts w:hint="eastAsia" w:ascii="宋体" w:hAnsi="宋体" w:eastAsia="宋体" w:cs="宋体"/>
          <w:color w:val="auto"/>
          <w:sz w:val="30"/>
          <w:szCs w:val="30"/>
          <w:lang w:val="en-US" w:eastAsia="zh-CN"/>
        </w:rPr>
        <w:t>区应急管理局</w:t>
      </w:r>
      <w:r>
        <w:rPr>
          <w:rFonts w:hint="eastAsia" w:ascii="宋体" w:hAnsi="宋体" w:eastAsia="宋体" w:cs="宋体"/>
          <w:sz w:val="30"/>
          <w:szCs w:val="30"/>
          <w:lang w:val="en-US" w:eastAsia="zh-CN"/>
        </w:rPr>
        <w:t>在职人员数为</w:t>
      </w:r>
      <w:r>
        <w:rPr>
          <w:rFonts w:hint="eastAsia" w:ascii="宋体" w:hAnsi="宋体" w:cs="宋体"/>
          <w:sz w:val="30"/>
          <w:szCs w:val="30"/>
          <w:lang w:val="en-US" w:eastAsia="zh-CN"/>
        </w:rPr>
        <w:t>28</w:t>
      </w:r>
      <w:r>
        <w:rPr>
          <w:rFonts w:hint="eastAsia" w:ascii="宋体" w:hAnsi="宋体" w:eastAsia="宋体" w:cs="宋体"/>
          <w:sz w:val="30"/>
          <w:szCs w:val="30"/>
          <w:lang w:val="en-US" w:eastAsia="zh-CN"/>
        </w:rPr>
        <w:t xml:space="preserve">人，编制数为33人。经计算，在职人员控制率为 </w:t>
      </w:r>
      <w:r>
        <w:rPr>
          <w:rFonts w:hint="eastAsia" w:ascii="宋体" w:hAnsi="宋体" w:cs="宋体"/>
          <w:sz w:val="30"/>
          <w:szCs w:val="30"/>
          <w:lang w:val="en-US" w:eastAsia="zh-CN"/>
        </w:rPr>
        <w:t>85</w:t>
      </w:r>
      <w:r>
        <w:rPr>
          <w:rFonts w:hint="eastAsia" w:ascii="宋体" w:hAnsi="宋体" w:eastAsia="宋体" w:cs="宋体"/>
          <w:sz w:val="30"/>
          <w:szCs w:val="30"/>
          <w:lang w:val="en-US" w:eastAsia="zh-CN"/>
        </w:rPr>
        <w:t>%，</w:t>
      </w:r>
      <w:r>
        <w:rPr>
          <w:rFonts w:hint="eastAsia" w:ascii="宋体" w:hAnsi="宋体" w:eastAsia="宋体" w:cs="宋体"/>
          <w:color w:val="auto"/>
          <w:sz w:val="30"/>
          <w:szCs w:val="30"/>
          <w:lang w:val="en-US" w:eastAsia="zh-CN"/>
        </w:rPr>
        <w:t>区应急管理局对于财政供养人员的控制情况</w:t>
      </w:r>
      <w:r>
        <w:rPr>
          <w:rFonts w:hint="eastAsia" w:ascii="宋体" w:hAnsi="宋体" w:cs="宋体"/>
          <w:color w:val="auto"/>
          <w:sz w:val="30"/>
          <w:szCs w:val="30"/>
          <w:lang w:val="en-US" w:eastAsia="zh-CN"/>
        </w:rPr>
        <w:t>很好</w:t>
      </w:r>
      <w:r>
        <w:rPr>
          <w:rFonts w:hint="eastAsia" w:ascii="宋体" w:hAnsi="宋体" w:eastAsia="宋体" w:cs="宋体"/>
          <w:color w:val="auto"/>
          <w:sz w:val="30"/>
          <w:szCs w:val="30"/>
          <w:lang w:val="en-US" w:eastAsia="zh-CN"/>
        </w:rPr>
        <w:t>。</w:t>
      </w:r>
    </w:p>
    <w:p>
      <w:pPr>
        <w:numPr>
          <w:ilvl w:val="0"/>
          <w:numId w:val="0"/>
        </w:numPr>
        <w:ind w:leftChars="200" w:firstLine="301" w:firstLineChars="100"/>
        <w:rPr>
          <w:rFonts w:hint="eastAsia" w:ascii="宋体" w:hAnsi="宋体" w:eastAsia="宋体" w:cs="宋体"/>
          <w:sz w:val="30"/>
          <w:szCs w:val="30"/>
          <w:lang w:val="en-US" w:eastAsia="zh-CN"/>
        </w:rPr>
      </w:pPr>
      <w:r>
        <w:rPr>
          <w:rFonts w:hint="eastAsia" w:ascii="宋体" w:hAnsi="宋体" w:eastAsia="宋体" w:cs="宋体"/>
          <w:b/>
          <w:bCs/>
          <w:sz w:val="30"/>
          <w:szCs w:val="30"/>
          <w:lang w:val="en-US" w:eastAsia="zh-CN"/>
        </w:rPr>
        <w:t>2、三公经费变动率及控制率</w:t>
      </w:r>
      <w:r>
        <w:rPr>
          <w:rFonts w:hint="eastAsia" w:ascii="宋体" w:hAnsi="宋体" w:eastAsia="宋体" w:cs="宋体"/>
          <w:sz w:val="30"/>
          <w:szCs w:val="30"/>
          <w:lang w:val="en-US" w:eastAsia="zh-CN"/>
        </w:rPr>
        <w:t>：</w:t>
      </w:r>
    </w:p>
    <w:p>
      <w:pPr>
        <w:numPr>
          <w:ilvl w:val="0"/>
          <w:numId w:val="0"/>
        </w:numPr>
        <w:ind w:firstLine="602" w:firstLineChars="200"/>
        <w:rPr>
          <w:rFonts w:hint="eastAsia" w:ascii="宋体" w:hAnsi="宋体" w:eastAsia="宋体" w:cs="宋体"/>
          <w:b w:val="0"/>
          <w:bCs w:val="0"/>
          <w:sz w:val="30"/>
          <w:szCs w:val="30"/>
          <w:lang w:val="en-US" w:eastAsia="zh-CN"/>
        </w:rPr>
      </w:pPr>
      <w:r>
        <w:rPr>
          <w:rFonts w:hint="eastAsia" w:ascii="宋体" w:hAnsi="宋体" w:eastAsia="宋体" w:cs="宋体"/>
          <w:b/>
          <w:bCs/>
          <w:sz w:val="30"/>
          <w:szCs w:val="30"/>
          <w:lang w:val="en-US" w:eastAsia="zh-CN"/>
        </w:rPr>
        <w:t>（1）公务招待费变动率：</w:t>
      </w:r>
      <w:r>
        <w:rPr>
          <w:rFonts w:hint="eastAsia" w:ascii="宋体" w:hAnsi="宋体" w:eastAsia="宋体" w:cs="宋体"/>
          <w:color w:val="auto"/>
          <w:sz w:val="30"/>
          <w:szCs w:val="30"/>
          <w:lang w:val="en-US" w:eastAsia="zh-CN"/>
        </w:rPr>
        <w:t>区应急管理局</w:t>
      </w:r>
      <w:r>
        <w:rPr>
          <w:rFonts w:hint="eastAsia" w:ascii="宋体" w:hAnsi="宋体" w:eastAsia="宋体" w:cs="宋体"/>
          <w:b w:val="0"/>
          <w:bCs w:val="0"/>
          <w:sz w:val="30"/>
          <w:szCs w:val="30"/>
          <w:lang w:val="en-US" w:eastAsia="zh-CN"/>
        </w:rPr>
        <w:t>共计支出10675元。</w:t>
      </w:r>
      <w:r>
        <w:rPr>
          <w:rFonts w:hint="eastAsia" w:ascii="宋体" w:hAnsi="宋体" w:eastAsia="宋体" w:cs="宋体"/>
          <w:b w:val="0"/>
          <w:bCs w:val="0"/>
          <w:color w:val="auto"/>
          <w:sz w:val="30"/>
          <w:szCs w:val="30"/>
          <w:lang w:val="en-US" w:eastAsia="zh-CN"/>
        </w:rPr>
        <w:t>比2019年</w:t>
      </w:r>
      <w:r>
        <w:rPr>
          <w:rFonts w:hint="eastAsia" w:ascii="宋体" w:hAnsi="宋体" w:eastAsia="宋体" w:cs="宋体"/>
          <w:b w:val="0"/>
          <w:bCs w:val="0"/>
          <w:sz w:val="30"/>
          <w:szCs w:val="30"/>
          <w:lang w:val="en-US" w:eastAsia="zh-CN"/>
        </w:rPr>
        <w:t>21873</w:t>
      </w:r>
      <w:r>
        <w:rPr>
          <w:rFonts w:hint="eastAsia" w:ascii="宋体" w:hAnsi="宋体" w:eastAsia="宋体" w:cs="宋体"/>
          <w:b w:val="0"/>
          <w:bCs w:val="0"/>
          <w:color w:val="auto"/>
          <w:sz w:val="30"/>
          <w:szCs w:val="30"/>
          <w:lang w:val="en-US" w:eastAsia="zh-CN"/>
        </w:rPr>
        <w:t>元同比下降51.2％。</w:t>
      </w:r>
      <w:r>
        <w:rPr>
          <w:rFonts w:hint="eastAsia" w:ascii="宋体" w:hAnsi="宋体" w:eastAsia="宋体" w:cs="宋体"/>
          <w:sz w:val="30"/>
          <w:szCs w:val="30"/>
          <w:highlight w:val="none"/>
        </w:rPr>
        <w:t>公务招待费较少，控制较好。</w:t>
      </w:r>
    </w:p>
    <w:p>
      <w:pPr>
        <w:numPr>
          <w:ilvl w:val="0"/>
          <w:numId w:val="0"/>
        </w:numPr>
        <w:ind w:firstLine="602" w:firstLineChars="200"/>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（2）车辆运行维护费情况：</w:t>
      </w:r>
      <w:r>
        <w:rPr>
          <w:rFonts w:hint="eastAsia" w:ascii="宋体" w:hAnsi="宋体" w:eastAsia="宋体" w:cs="宋体"/>
          <w:color w:val="auto"/>
          <w:sz w:val="30"/>
          <w:szCs w:val="30"/>
          <w:lang w:val="en-US" w:eastAsia="zh-CN"/>
        </w:rPr>
        <w:t>区应急管理局</w:t>
      </w:r>
      <w:r>
        <w:rPr>
          <w:rFonts w:hint="eastAsia" w:ascii="宋体" w:hAnsi="宋体" w:eastAsia="宋体" w:cs="宋体"/>
          <w:b w:val="0"/>
          <w:bCs w:val="0"/>
          <w:sz w:val="30"/>
          <w:szCs w:val="30"/>
          <w:lang w:val="en-US" w:eastAsia="zh-CN"/>
        </w:rPr>
        <w:t>共计支出5150.72元。</w:t>
      </w:r>
      <w:r>
        <w:rPr>
          <w:rFonts w:hint="eastAsia" w:ascii="宋体" w:hAnsi="宋体" w:eastAsia="宋体" w:cs="宋体"/>
          <w:b w:val="0"/>
          <w:bCs w:val="0"/>
          <w:color w:val="auto"/>
          <w:sz w:val="30"/>
          <w:szCs w:val="30"/>
          <w:lang w:val="en-US" w:eastAsia="zh-CN"/>
        </w:rPr>
        <w:t>比2019年58773元同比下降91.23％。</w:t>
      </w:r>
      <w:r>
        <w:rPr>
          <w:rFonts w:hint="eastAsia" w:ascii="宋体" w:hAnsi="宋体" w:eastAsia="宋体" w:cs="宋体"/>
          <w:b w:val="0"/>
          <w:bCs w:val="0"/>
          <w:sz w:val="30"/>
          <w:szCs w:val="30"/>
          <w:lang w:val="en-US" w:eastAsia="zh-CN"/>
        </w:rPr>
        <w:t>车辆运行维护费较少，控制较好。</w:t>
      </w:r>
    </w:p>
    <w:p>
      <w:pPr>
        <w:numPr>
          <w:ilvl w:val="0"/>
          <w:numId w:val="0"/>
        </w:numPr>
        <w:ind w:firstLine="602" w:firstLineChars="200"/>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（3）无因公出国费用支出。</w:t>
      </w:r>
    </w:p>
    <w:p>
      <w:pPr>
        <w:pStyle w:val="2"/>
        <w:ind w:left="0" w:leftChars="0" w:firstLine="602" w:firstLineChars="200"/>
        <w:rPr>
          <w:rFonts w:hint="eastAsia" w:ascii="宋体" w:hAnsi="宋体" w:eastAsia="宋体" w:cs="宋体"/>
          <w:b/>
          <w:bCs/>
          <w:sz w:val="30"/>
          <w:szCs w:val="30"/>
          <w:highlight w:val="none"/>
          <w:lang w:val="en-US" w:eastAsia="zh-CN"/>
        </w:rPr>
      </w:pPr>
      <w:r>
        <w:rPr>
          <w:rFonts w:hint="eastAsia" w:ascii="宋体" w:hAnsi="宋体" w:eastAsia="宋体" w:cs="宋体"/>
          <w:b/>
          <w:bCs/>
          <w:sz w:val="30"/>
          <w:szCs w:val="30"/>
          <w:highlight w:val="none"/>
          <w:lang w:eastAsia="zh-CN"/>
        </w:rPr>
        <w:t>（</w:t>
      </w:r>
      <w:r>
        <w:rPr>
          <w:rFonts w:hint="eastAsia" w:ascii="宋体" w:hAnsi="宋体" w:eastAsia="宋体" w:cs="宋体"/>
          <w:b/>
          <w:bCs/>
          <w:sz w:val="30"/>
          <w:szCs w:val="30"/>
          <w:highlight w:val="none"/>
          <w:lang w:val="en-US" w:eastAsia="zh-CN"/>
        </w:rPr>
        <w:t>4</w:t>
      </w:r>
      <w:r>
        <w:rPr>
          <w:rFonts w:hint="eastAsia" w:ascii="宋体" w:hAnsi="宋体" w:eastAsia="宋体" w:cs="宋体"/>
          <w:b/>
          <w:bCs/>
          <w:sz w:val="30"/>
          <w:szCs w:val="30"/>
          <w:highlight w:val="none"/>
          <w:lang w:eastAsia="zh-CN"/>
        </w:rPr>
        <w:t>）</w:t>
      </w:r>
      <w:r>
        <w:rPr>
          <w:rFonts w:hint="eastAsia" w:ascii="宋体" w:hAnsi="宋体" w:eastAsia="宋体" w:cs="宋体"/>
          <w:b/>
          <w:bCs/>
          <w:sz w:val="30"/>
          <w:szCs w:val="30"/>
          <w:lang w:val="en-US" w:eastAsia="zh-CN"/>
        </w:rPr>
        <w:t>三公经费</w:t>
      </w:r>
      <w:r>
        <w:rPr>
          <w:rFonts w:hint="eastAsia" w:ascii="宋体" w:hAnsi="宋体" w:eastAsia="宋体" w:cs="宋体"/>
          <w:b/>
          <w:bCs/>
          <w:sz w:val="30"/>
          <w:szCs w:val="30"/>
          <w:highlight w:val="none"/>
          <w:lang w:val="en-US" w:eastAsia="zh-CN"/>
        </w:rPr>
        <w:t>控制率</w:t>
      </w:r>
    </w:p>
    <w:p>
      <w:pPr>
        <w:ind w:firstLine="600" w:firstLineChars="200"/>
        <w:rPr>
          <w:rFonts w:hint="eastAsia" w:ascii="宋体" w:hAnsi="宋体" w:eastAsia="宋体" w:cs="宋体"/>
          <w:sz w:val="30"/>
          <w:szCs w:val="30"/>
          <w:lang w:val="en-US" w:eastAsia="zh-CN"/>
        </w:rPr>
      </w:pPr>
      <w:r>
        <w:rPr>
          <w:rFonts w:hint="eastAsia" w:ascii="宋体" w:hAnsi="宋体" w:eastAsia="宋体" w:cs="宋体"/>
          <w:kern w:val="2"/>
          <w:sz w:val="30"/>
          <w:szCs w:val="30"/>
          <w:highlight w:val="none"/>
          <w:lang w:val="en-US" w:eastAsia="zh-CN" w:bidi="ar-SA"/>
        </w:rPr>
        <w:t>《应急管理局-2020年财务基本支出明细表》中“三公经费”支出金额为15825.72元。《2020年应急管理局预算批复表》中“三公经费”预算金额为18000元，经计算，“三公经费”控制率为87.92%。</w:t>
      </w:r>
    </w:p>
    <w:p>
      <w:pPr>
        <w:ind w:firstLine="602" w:firstLineChars="200"/>
        <w:rPr>
          <w:rFonts w:hint="eastAsia" w:ascii="宋体" w:hAnsi="宋体" w:eastAsia="宋体" w:cs="宋体"/>
          <w:b/>
          <w:bCs w:val="0"/>
          <w:color w:val="0000FF"/>
          <w:sz w:val="30"/>
          <w:szCs w:val="30"/>
          <w:highlight w:val="none"/>
          <w:lang w:val="en-US" w:eastAsia="zh-CN"/>
        </w:rPr>
      </w:pPr>
      <w:r>
        <w:rPr>
          <w:rFonts w:hint="eastAsia" w:ascii="宋体" w:hAnsi="宋体" w:eastAsia="宋体" w:cs="宋体"/>
          <w:b/>
          <w:bCs/>
          <w:sz w:val="30"/>
          <w:szCs w:val="30"/>
          <w:lang w:val="en-US" w:eastAsia="zh-CN"/>
        </w:rPr>
        <w:t xml:space="preserve"> 3、重点支出安排率</w:t>
      </w:r>
    </w:p>
    <w:p>
      <w:pPr>
        <w:ind w:firstLine="600" w:firstLineChars="200"/>
        <w:rPr>
          <w:rFonts w:hint="eastAsia" w:ascii="宋体" w:hAnsi="宋体" w:eastAsia="宋体" w:cs="宋体"/>
          <w:b/>
          <w:bCs w:val="0"/>
          <w:color w:val="0000FF"/>
          <w:sz w:val="30"/>
          <w:szCs w:val="30"/>
          <w:highlight w:val="none"/>
          <w:lang w:val="en-US" w:eastAsia="zh-CN"/>
        </w:rPr>
      </w:pPr>
      <w:r>
        <w:rPr>
          <w:rFonts w:hint="eastAsia" w:ascii="宋体" w:hAnsi="宋体" w:eastAsia="宋体" w:cs="宋体"/>
          <w:bCs/>
          <w:sz w:val="30"/>
          <w:szCs w:val="30"/>
        </w:rPr>
        <w:t>《2020年应急管理局预算批复表-部门预算收支总表》中显示：项目支出</w:t>
      </w:r>
      <w:r>
        <w:rPr>
          <w:rFonts w:hint="eastAsia" w:ascii="宋体" w:hAnsi="宋体" w:eastAsia="宋体" w:cs="宋体"/>
          <w:bCs/>
          <w:sz w:val="30"/>
          <w:szCs w:val="30"/>
          <w:lang w:val="en-US" w:eastAsia="zh-CN"/>
        </w:rPr>
        <w:t>总金额</w:t>
      </w:r>
      <w:r>
        <w:rPr>
          <w:rFonts w:hint="eastAsia" w:ascii="宋体" w:hAnsi="宋体" w:eastAsia="宋体" w:cs="宋体"/>
          <w:bCs/>
          <w:sz w:val="30"/>
          <w:szCs w:val="30"/>
        </w:rPr>
        <w:t>为85万元，其中重点支出专家服务费20万元，安全生产隐患治理10万元，安全生产奖励20万元，其他商品服务支出16万元，小计66万元， 重点支出安排率为77.65%。</w:t>
      </w:r>
    </w:p>
    <w:p>
      <w:pPr>
        <w:numPr>
          <w:ilvl w:val="0"/>
          <w:numId w:val="0"/>
        </w:numPr>
        <w:ind w:firstLine="300" w:firstLineChars="100"/>
        <w:rPr>
          <w:rFonts w:hint="eastAsia" w:ascii="宋体" w:hAnsi="宋体" w:eastAsia="宋体" w:cs="宋体"/>
          <w:b/>
          <w:bCs/>
          <w:sz w:val="30"/>
          <w:szCs w:val="30"/>
        </w:rPr>
      </w:pPr>
      <w:r>
        <w:rPr>
          <w:rFonts w:hint="eastAsia" w:ascii="宋体" w:hAnsi="宋体" w:eastAsia="宋体" w:cs="宋体"/>
          <w:b w:val="0"/>
          <w:bCs w:val="0"/>
          <w:sz w:val="30"/>
          <w:szCs w:val="30"/>
          <w:lang w:val="en-US" w:eastAsia="zh-CN"/>
        </w:rPr>
        <w:t xml:space="preserve"> </w:t>
      </w:r>
      <w:r>
        <w:rPr>
          <w:rFonts w:hint="eastAsia" w:ascii="宋体" w:hAnsi="宋体" w:eastAsia="宋体" w:cs="宋体"/>
          <w:b/>
          <w:bCs/>
          <w:sz w:val="30"/>
          <w:szCs w:val="30"/>
        </w:rPr>
        <w:t>（二）预算执行情况：</w:t>
      </w:r>
    </w:p>
    <w:p>
      <w:pPr>
        <w:ind w:firstLine="600" w:firstLineChars="200"/>
        <w:rPr>
          <w:rFonts w:hint="eastAsia" w:ascii="宋体" w:hAnsi="宋体" w:eastAsia="宋体" w:cs="宋体"/>
          <w:bCs/>
          <w:kern w:val="2"/>
          <w:sz w:val="30"/>
          <w:szCs w:val="30"/>
          <w:lang w:val="en-US" w:eastAsia="zh-CN" w:bidi="ar-SA"/>
        </w:rPr>
      </w:pPr>
      <w:r>
        <w:rPr>
          <w:rFonts w:hint="eastAsia" w:ascii="宋体" w:hAnsi="宋体" w:eastAsia="宋体" w:cs="宋体"/>
          <w:bCs/>
          <w:sz w:val="30"/>
          <w:szCs w:val="30"/>
        </w:rPr>
        <w:t>1、预算调整</w:t>
      </w:r>
      <w:r>
        <w:rPr>
          <w:rFonts w:hint="eastAsia" w:ascii="宋体" w:hAnsi="宋体" w:eastAsia="宋体" w:cs="宋体"/>
          <w:bCs/>
          <w:sz w:val="30"/>
          <w:szCs w:val="30"/>
          <w:lang w:val="en-US" w:eastAsia="zh-CN"/>
        </w:rPr>
        <w:t>情况：</w:t>
      </w:r>
      <w:r>
        <w:rPr>
          <w:rFonts w:hint="eastAsia" w:ascii="宋体" w:hAnsi="宋体" w:eastAsia="宋体" w:cs="宋体"/>
          <w:bCs/>
          <w:kern w:val="2"/>
          <w:sz w:val="30"/>
          <w:szCs w:val="30"/>
          <w:lang w:val="en-US" w:eastAsia="zh-CN" w:bidi="ar-SA"/>
        </w:rPr>
        <w:t>2020年应急管理局实际支出金额为742.11元，2020年预算支出金额为258.12万元，预算调整</w:t>
      </w:r>
      <w:r>
        <w:rPr>
          <w:rFonts w:hint="eastAsia" w:ascii="宋体" w:hAnsi="宋体" w:cs="宋体"/>
          <w:bCs/>
          <w:kern w:val="2"/>
          <w:sz w:val="30"/>
          <w:szCs w:val="30"/>
          <w:lang w:val="en-US" w:eastAsia="zh-CN" w:bidi="ar-SA"/>
        </w:rPr>
        <w:t>数</w:t>
      </w:r>
      <w:r>
        <w:rPr>
          <w:rFonts w:hint="eastAsia" w:ascii="宋体" w:hAnsi="宋体" w:eastAsia="宋体" w:cs="宋体"/>
          <w:bCs/>
          <w:kern w:val="2"/>
          <w:sz w:val="30"/>
          <w:szCs w:val="30"/>
          <w:lang w:val="en-US" w:eastAsia="zh-CN" w:bidi="ar-SA"/>
        </w:rPr>
        <w:t>483.99万元，预算调整率为187.51%。</w:t>
      </w:r>
    </w:p>
    <w:p>
      <w:pPr>
        <w:ind w:firstLine="600" w:firstLineChars="200"/>
        <w:rPr>
          <w:rFonts w:hint="eastAsia" w:ascii="宋体" w:hAnsi="宋体" w:eastAsia="宋体" w:cs="宋体"/>
          <w:bCs/>
          <w:sz w:val="30"/>
          <w:szCs w:val="30"/>
          <w:lang w:val="en-US" w:eastAsia="zh-CN"/>
        </w:rPr>
      </w:pPr>
      <w:r>
        <w:rPr>
          <w:rFonts w:hint="eastAsia" w:ascii="宋体" w:hAnsi="宋体" w:eastAsia="宋体" w:cs="宋体"/>
          <w:bCs/>
          <w:sz w:val="30"/>
          <w:szCs w:val="30"/>
        </w:rPr>
        <w:t>2、支付进度情况：</w:t>
      </w:r>
      <w:r>
        <w:rPr>
          <w:rFonts w:hint="eastAsia" w:ascii="宋体" w:hAnsi="宋体" w:eastAsia="宋体" w:cs="宋体"/>
          <w:color w:val="auto"/>
          <w:sz w:val="30"/>
          <w:szCs w:val="30"/>
          <w:lang w:val="en-US" w:eastAsia="zh-CN"/>
        </w:rPr>
        <w:t>区应急管理局提供的</w:t>
      </w:r>
      <w:r>
        <w:rPr>
          <w:rFonts w:hint="eastAsia" w:ascii="宋体" w:hAnsi="宋体" w:eastAsia="宋体" w:cs="宋体"/>
          <w:bCs/>
          <w:sz w:val="30"/>
          <w:szCs w:val="30"/>
          <w:lang w:eastAsia="zh-CN"/>
        </w:rPr>
        <w:t>《2020年省市专项资金明细表》中显示：春节前未下达全部专项资金的50%，6月底前所有专项资金指标均未下达完毕。</w:t>
      </w:r>
      <w:r>
        <w:rPr>
          <w:rFonts w:hint="eastAsia" w:ascii="宋体" w:hAnsi="宋体" w:eastAsia="宋体" w:cs="宋体"/>
          <w:color w:val="auto"/>
          <w:sz w:val="30"/>
          <w:szCs w:val="30"/>
          <w:lang w:val="en-US" w:eastAsia="zh-CN"/>
        </w:rPr>
        <w:t>区应急管理局对于专项资金的支付执行进度较慢。</w:t>
      </w:r>
    </w:p>
    <w:p>
      <w:pPr>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3、资金结转结余：</w:t>
      </w:r>
    </w:p>
    <w:p>
      <w:pPr>
        <w:ind w:firstLine="600" w:firstLineChars="200"/>
        <w:rPr>
          <w:rFonts w:hint="eastAsia" w:ascii="宋体" w:hAnsi="宋体" w:eastAsia="宋体" w:cs="宋体"/>
          <w:b/>
          <w:bCs w:val="0"/>
          <w:color w:val="0000FF"/>
          <w:sz w:val="30"/>
          <w:szCs w:val="30"/>
          <w:highlight w:val="none"/>
          <w:lang w:val="en-US" w:eastAsia="zh-CN"/>
        </w:rPr>
      </w:pPr>
      <w:r>
        <w:rPr>
          <w:rFonts w:hint="eastAsia" w:ascii="宋体" w:hAnsi="宋体" w:eastAsia="宋体" w:cs="宋体"/>
          <w:bCs/>
          <w:sz w:val="30"/>
          <w:szCs w:val="30"/>
          <w:lang w:eastAsia="zh-CN"/>
        </w:rPr>
        <w:t>《2019年度本年盈余与预算结余差异调节表》显示：“本年盈余”金额为46406.44元；《2020年度本年盈余与预算结余差异调节表》显示：“本年盈余”金额为766401.78元。</w:t>
      </w:r>
    </w:p>
    <w:p>
      <w:pPr>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（三）预算管理</w:t>
      </w:r>
    </w:p>
    <w:p>
      <w:pPr>
        <w:ind w:firstLine="602" w:firstLineChars="200"/>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1、预算批复与实际支出对比分析</w:t>
      </w:r>
    </w:p>
    <w:p>
      <w:pPr>
        <w:numPr>
          <w:ilvl w:val="0"/>
          <w:numId w:val="0"/>
        </w:numPr>
        <w:ind w:firstLine="560"/>
        <w:rPr>
          <w:rFonts w:hint="eastAsia" w:ascii="宋体" w:hAnsi="宋体" w:eastAsia="宋体" w:cs="宋体"/>
          <w:b/>
          <w:bCs w:val="0"/>
          <w:color w:val="0000FF"/>
          <w:sz w:val="30"/>
          <w:szCs w:val="30"/>
          <w:highlight w:val="none"/>
          <w:lang w:val="en-US" w:eastAsia="zh-CN"/>
        </w:rPr>
      </w:pPr>
      <w:r>
        <w:rPr>
          <w:rFonts w:hint="eastAsia" w:ascii="宋体" w:hAnsi="宋体" w:eastAsia="宋体" w:cs="宋体"/>
          <w:b/>
          <w:bCs/>
          <w:sz w:val="30"/>
          <w:szCs w:val="30"/>
          <w:lang w:val="en-US" w:eastAsia="zh-CN"/>
        </w:rPr>
        <w:t>（1） 总预算与总支出情况：</w:t>
      </w:r>
    </w:p>
    <w:p>
      <w:pPr>
        <w:numPr>
          <w:ilvl w:val="0"/>
          <w:numId w:val="0"/>
        </w:numPr>
        <w:ind w:firstLine="560"/>
        <w:rPr>
          <w:rFonts w:hint="eastAsia" w:ascii="宋体" w:hAnsi="宋体" w:eastAsia="宋体" w:cs="宋体"/>
          <w:sz w:val="30"/>
          <w:szCs w:val="30"/>
          <w:lang w:val="en-US" w:eastAsia="zh-CN"/>
        </w:rPr>
      </w:pPr>
      <w:r>
        <w:rPr>
          <w:rFonts w:hint="eastAsia" w:ascii="宋体" w:hAnsi="宋体" w:eastAsia="宋体" w:cs="宋体"/>
          <w:b w:val="0"/>
          <w:bCs w:val="0"/>
          <w:sz w:val="30"/>
          <w:szCs w:val="30"/>
          <w:lang w:val="en-US" w:eastAsia="zh-CN"/>
        </w:rPr>
        <w:t>2020年财政预算支出共计258.12万元，2020年实际支出共计742.11万元。实际总支出超出预算总金额483.99万元。</w:t>
      </w:r>
    </w:p>
    <w:p>
      <w:pPr>
        <w:ind w:firstLine="600" w:firstLineChars="200"/>
        <w:rPr>
          <w:rFonts w:hint="eastAsia" w:ascii="宋体" w:hAnsi="宋体" w:eastAsia="宋体" w:cs="宋体"/>
          <w:b w:val="0"/>
          <w:bCs w:val="0"/>
          <w:color w:val="000000"/>
          <w:sz w:val="30"/>
          <w:szCs w:val="30"/>
          <w:highlight w:val="none"/>
          <w:lang w:val="en-US" w:eastAsia="zh-CN"/>
        </w:rPr>
      </w:pPr>
      <w:r>
        <w:rPr>
          <w:rFonts w:hint="eastAsia" w:ascii="宋体" w:hAnsi="宋体" w:eastAsia="宋体" w:cs="宋体"/>
          <w:b w:val="0"/>
          <w:bCs w:val="0"/>
          <w:color w:val="000000"/>
          <w:sz w:val="30"/>
          <w:szCs w:val="30"/>
          <w:highlight w:val="none"/>
        </w:rPr>
        <w:t>人员经费</w:t>
      </w:r>
      <w:r>
        <w:rPr>
          <w:rFonts w:hint="eastAsia" w:ascii="宋体" w:hAnsi="宋体" w:eastAsia="宋体" w:cs="宋体"/>
          <w:b w:val="0"/>
          <w:bCs w:val="0"/>
          <w:color w:val="000000"/>
          <w:sz w:val="30"/>
          <w:szCs w:val="30"/>
          <w:highlight w:val="none"/>
          <w:lang w:val="en-US" w:eastAsia="zh-CN"/>
        </w:rPr>
        <w:t>预算支出160.74万元，实际支出286.5万</w:t>
      </w:r>
      <w:r>
        <w:rPr>
          <w:rFonts w:hint="eastAsia" w:ascii="宋体" w:hAnsi="宋体" w:eastAsia="宋体" w:cs="宋体"/>
          <w:b w:val="0"/>
          <w:bCs w:val="0"/>
          <w:color w:val="000000"/>
          <w:sz w:val="30"/>
          <w:szCs w:val="30"/>
          <w:highlight w:val="none"/>
        </w:rPr>
        <w:t>元，</w:t>
      </w:r>
      <w:r>
        <w:rPr>
          <w:rFonts w:hint="eastAsia" w:ascii="宋体" w:hAnsi="宋体" w:eastAsia="宋体" w:cs="宋体"/>
          <w:b w:val="0"/>
          <w:bCs w:val="0"/>
          <w:color w:val="000000"/>
          <w:sz w:val="30"/>
          <w:szCs w:val="30"/>
          <w:highlight w:val="none"/>
          <w:lang w:val="en-US" w:eastAsia="zh-CN"/>
        </w:rPr>
        <w:t>超预算125.76万元；</w:t>
      </w:r>
      <w:r>
        <w:rPr>
          <w:rFonts w:hint="eastAsia" w:ascii="宋体" w:hAnsi="宋体" w:eastAsia="宋体" w:cs="宋体"/>
          <w:b w:val="0"/>
          <w:bCs w:val="0"/>
          <w:color w:val="000000"/>
          <w:sz w:val="30"/>
          <w:szCs w:val="30"/>
          <w:highlight w:val="none"/>
        </w:rPr>
        <w:t>商品</w:t>
      </w:r>
      <w:r>
        <w:rPr>
          <w:rFonts w:hint="eastAsia" w:ascii="宋体" w:hAnsi="宋体" w:eastAsia="宋体" w:cs="宋体"/>
          <w:b w:val="0"/>
          <w:bCs w:val="0"/>
          <w:color w:val="000000"/>
          <w:sz w:val="30"/>
          <w:szCs w:val="30"/>
          <w:highlight w:val="none"/>
          <w:lang w:val="en-US" w:eastAsia="zh-CN"/>
        </w:rPr>
        <w:t>和</w:t>
      </w:r>
      <w:r>
        <w:rPr>
          <w:rFonts w:hint="eastAsia" w:ascii="宋体" w:hAnsi="宋体" w:eastAsia="宋体" w:cs="宋体"/>
          <w:b w:val="0"/>
          <w:bCs w:val="0"/>
          <w:color w:val="000000"/>
          <w:sz w:val="30"/>
          <w:szCs w:val="30"/>
          <w:highlight w:val="none"/>
        </w:rPr>
        <w:t>服务</w:t>
      </w:r>
      <w:r>
        <w:rPr>
          <w:rFonts w:hint="eastAsia" w:ascii="宋体" w:hAnsi="宋体" w:eastAsia="宋体" w:cs="宋体"/>
          <w:b w:val="0"/>
          <w:bCs w:val="0"/>
          <w:color w:val="000000"/>
          <w:sz w:val="30"/>
          <w:szCs w:val="30"/>
          <w:highlight w:val="none"/>
          <w:lang w:val="en-US" w:eastAsia="zh-CN"/>
        </w:rPr>
        <w:t>预算</w:t>
      </w:r>
      <w:r>
        <w:rPr>
          <w:rFonts w:hint="eastAsia" w:ascii="宋体" w:hAnsi="宋体" w:eastAsia="宋体" w:cs="宋体"/>
          <w:b w:val="0"/>
          <w:bCs w:val="0"/>
          <w:color w:val="000000"/>
          <w:sz w:val="30"/>
          <w:szCs w:val="30"/>
          <w:highlight w:val="none"/>
        </w:rPr>
        <w:t>支出费1</w:t>
      </w:r>
      <w:r>
        <w:rPr>
          <w:rFonts w:hint="eastAsia" w:ascii="宋体" w:hAnsi="宋体" w:eastAsia="宋体" w:cs="宋体"/>
          <w:b w:val="0"/>
          <w:bCs w:val="0"/>
          <w:color w:val="000000"/>
          <w:sz w:val="30"/>
          <w:szCs w:val="30"/>
          <w:highlight w:val="none"/>
          <w:lang w:val="en-US" w:eastAsia="zh-CN"/>
        </w:rPr>
        <w:t>2.38万元，实际支出114.21万</w:t>
      </w:r>
      <w:r>
        <w:rPr>
          <w:rFonts w:hint="eastAsia" w:ascii="宋体" w:hAnsi="宋体" w:eastAsia="宋体" w:cs="宋体"/>
          <w:b w:val="0"/>
          <w:bCs w:val="0"/>
          <w:color w:val="000000"/>
          <w:sz w:val="30"/>
          <w:szCs w:val="30"/>
          <w:highlight w:val="none"/>
        </w:rPr>
        <w:t>元，</w:t>
      </w:r>
      <w:r>
        <w:rPr>
          <w:rFonts w:hint="eastAsia" w:ascii="宋体" w:hAnsi="宋体" w:eastAsia="宋体" w:cs="宋体"/>
          <w:b w:val="0"/>
          <w:bCs w:val="0"/>
          <w:color w:val="000000"/>
          <w:sz w:val="30"/>
          <w:szCs w:val="30"/>
          <w:highlight w:val="none"/>
          <w:lang w:val="en-US" w:eastAsia="zh-CN"/>
        </w:rPr>
        <w:t>超预算101.83万元；</w:t>
      </w:r>
      <w:r>
        <w:rPr>
          <w:rFonts w:hint="eastAsia" w:ascii="宋体" w:hAnsi="宋体" w:eastAsia="宋体" w:cs="宋体"/>
          <w:b w:val="0"/>
          <w:bCs w:val="0"/>
          <w:color w:val="000000"/>
          <w:sz w:val="30"/>
          <w:szCs w:val="30"/>
          <w:highlight w:val="none"/>
        </w:rPr>
        <w:t>对个人和家庭的补助</w:t>
      </w:r>
      <w:r>
        <w:rPr>
          <w:rFonts w:hint="eastAsia" w:ascii="宋体" w:hAnsi="宋体" w:eastAsia="宋体" w:cs="宋体"/>
          <w:b w:val="0"/>
          <w:bCs w:val="0"/>
          <w:color w:val="000000"/>
          <w:sz w:val="30"/>
          <w:szCs w:val="30"/>
          <w:highlight w:val="none"/>
          <w:lang w:val="en-US" w:eastAsia="zh-CN"/>
        </w:rPr>
        <w:t>与其他支出无预算</w:t>
      </w:r>
      <w:r>
        <w:rPr>
          <w:rFonts w:hint="eastAsia" w:ascii="宋体" w:hAnsi="宋体" w:eastAsia="宋体" w:cs="宋体"/>
          <w:b w:val="0"/>
          <w:bCs w:val="0"/>
          <w:color w:val="000000"/>
          <w:sz w:val="30"/>
          <w:szCs w:val="30"/>
          <w:highlight w:val="none"/>
          <w:lang w:eastAsia="zh-CN"/>
        </w:rPr>
        <w:t>，</w:t>
      </w:r>
      <w:r>
        <w:rPr>
          <w:rFonts w:hint="eastAsia" w:ascii="宋体" w:hAnsi="宋体" w:eastAsia="宋体" w:cs="宋体"/>
          <w:b w:val="0"/>
          <w:bCs w:val="0"/>
          <w:color w:val="000000"/>
          <w:sz w:val="30"/>
          <w:szCs w:val="30"/>
          <w:highlight w:val="none"/>
          <w:lang w:val="en-US" w:eastAsia="zh-CN"/>
        </w:rPr>
        <w:t>实际支出30.46万元，超预算30.46万元；</w:t>
      </w:r>
      <w:r>
        <w:rPr>
          <w:rFonts w:hint="eastAsia" w:ascii="宋体" w:hAnsi="宋体" w:eastAsia="宋体" w:cs="宋体"/>
          <w:b w:val="0"/>
          <w:bCs w:val="0"/>
          <w:color w:val="000000"/>
          <w:sz w:val="30"/>
          <w:szCs w:val="30"/>
          <w:highlight w:val="none"/>
          <w:lang w:eastAsia="zh-CN"/>
        </w:rPr>
        <w:t>项目</w:t>
      </w:r>
      <w:r>
        <w:rPr>
          <w:rFonts w:hint="eastAsia" w:ascii="宋体" w:hAnsi="宋体" w:cs="宋体"/>
          <w:b w:val="0"/>
          <w:bCs w:val="0"/>
          <w:color w:val="000000"/>
          <w:sz w:val="30"/>
          <w:szCs w:val="30"/>
          <w:highlight w:val="none"/>
          <w:lang w:eastAsia="zh-CN"/>
        </w:rPr>
        <w:t>支出</w:t>
      </w:r>
      <w:r>
        <w:rPr>
          <w:rFonts w:hint="eastAsia" w:ascii="宋体" w:hAnsi="宋体" w:eastAsia="宋体" w:cs="宋体"/>
          <w:b w:val="0"/>
          <w:bCs w:val="0"/>
          <w:color w:val="000000"/>
          <w:sz w:val="30"/>
          <w:szCs w:val="30"/>
          <w:highlight w:val="none"/>
          <w:lang w:val="en-US" w:eastAsia="zh-CN"/>
        </w:rPr>
        <w:t>预算85万元，实际</w:t>
      </w:r>
      <w:r>
        <w:rPr>
          <w:rFonts w:hint="eastAsia" w:ascii="宋体" w:hAnsi="宋体" w:eastAsia="宋体" w:cs="宋体"/>
          <w:b w:val="0"/>
          <w:bCs w:val="0"/>
          <w:color w:val="000000"/>
          <w:sz w:val="30"/>
          <w:szCs w:val="30"/>
          <w:highlight w:val="none"/>
        </w:rPr>
        <w:t>支出</w:t>
      </w:r>
      <w:r>
        <w:rPr>
          <w:rFonts w:hint="eastAsia" w:ascii="宋体" w:hAnsi="宋体" w:eastAsia="宋体" w:cs="宋体"/>
          <w:b w:val="0"/>
          <w:bCs w:val="0"/>
          <w:color w:val="000000"/>
          <w:sz w:val="30"/>
          <w:szCs w:val="30"/>
          <w:highlight w:val="none"/>
          <w:lang w:val="en-US" w:eastAsia="zh-CN"/>
        </w:rPr>
        <w:t>310.94</w:t>
      </w:r>
      <w:r>
        <w:rPr>
          <w:rFonts w:hint="eastAsia" w:ascii="宋体" w:hAnsi="宋体" w:eastAsia="宋体" w:cs="宋体"/>
          <w:b w:val="0"/>
          <w:bCs w:val="0"/>
          <w:color w:val="000000"/>
          <w:sz w:val="30"/>
          <w:szCs w:val="30"/>
          <w:highlight w:val="none"/>
        </w:rPr>
        <w:t>元</w:t>
      </w:r>
      <w:r>
        <w:rPr>
          <w:rFonts w:hint="eastAsia" w:ascii="宋体" w:hAnsi="宋体" w:eastAsia="宋体" w:cs="宋体"/>
          <w:b w:val="0"/>
          <w:bCs w:val="0"/>
          <w:color w:val="000000"/>
          <w:sz w:val="30"/>
          <w:szCs w:val="30"/>
          <w:highlight w:val="none"/>
          <w:lang w:eastAsia="zh-CN"/>
        </w:rPr>
        <w:t>，</w:t>
      </w:r>
      <w:r>
        <w:rPr>
          <w:rFonts w:hint="eastAsia" w:ascii="宋体" w:hAnsi="宋体" w:eastAsia="宋体" w:cs="宋体"/>
          <w:b w:val="0"/>
          <w:bCs w:val="0"/>
          <w:color w:val="000000"/>
          <w:sz w:val="30"/>
          <w:szCs w:val="30"/>
          <w:highlight w:val="none"/>
          <w:lang w:val="en-US" w:eastAsia="zh-CN"/>
        </w:rPr>
        <w:t>超预算225.94万元。</w:t>
      </w:r>
    </w:p>
    <w:p>
      <w:pPr>
        <w:ind w:firstLine="600" w:firstLineChars="200"/>
        <w:rPr>
          <w:rFonts w:hint="eastAsia" w:ascii="宋体" w:hAnsi="宋体" w:eastAsia="宋体" w:cs="宋体"/>
          <w:b/>
          <w:bCs/>
          <w:color w:val="FF0000"/>
          <w:sz w:val="30"/>
          <w:szCs w:val="30"/>
          <w:lang w:eastAsia="zh-CN"/>
        </w:rPr>
      </w:pPr>
      <w:r>
        <w:rPr>
          <w:rFonts w:hint="eastAsia" w:ascii="宋体" w:hAnsi="宋体" w:eastAsia="宋体" w:cs="宋体"/>
          <w:b w:val="0"/>
          <w:bCs w:val="0"/>
          <w:color w:val="000000"/>
          <w:sz w:val="30"/>
          <w:szCs w:val="30"/>
          <w:highlight w:val="none"/>
          <w:lang w:val="en-US" w:eastAsia="zh-CN"/>
        </w:rPr>
        <w:t>预算超支主要</w:t>
      </w:r>
      <w:r>
        <w:rPr>
          <w:rFonts w:hint="eastAsia" w:ascii="宋体" w:hAnsi="宋体" w:eastAsia="宋体" w:cs="宋体"/>
          <w:sz w:val="30"/>
          <w:szCs w:val="30"/>
        </w:rPr>
        <w:t>原因</w:t>
      </w:r>
      <w:r>
        <w:rPr>
          <w:rFonts w:hint="eastAsia" w:ascii="宋体" w:hAnsi="宋体" w:eastAsia="宋体" w:cs="宋体"/>
          <w:sz w:val="30"/>
          <w:szCs w:val="30"/>
          <w:lang w:eastAsia="zh-CN"/>
        </w:rPr>
        <w:t>有两方面，一是单位年初</w:t>
      </w:r>
      <w:r>
        <w:rPr>
          <w:rFonts w:hint="eastAsia" w:ascii="宋体" w:hAnsi="宋体" w:eastAsia="宋体" w:cs="宋体"/>
          <w:sz w:val="30"/>
          <w:szCs w:val="30"/>
        </w:rPr>
        <w:t>预算申请不够准确</w:t>
      </w:r>
      <w:r>
        <w:rPr>
          <w:rFonts w:hint="eastAsia" w:ascii="宋体" w:hAnsi="宋体" w:eastAsia="宋体" w:cs="宋体"/>
          <w:sz w:val="30"/>
          <w:szCs w:val="30"/>
          <w:lang w:eastAsia="zh-CN"/>
        </w:rPr>
        <w:t>，</w:t>
      </w:r>
      <w:r>
        <w:rPr>
          <w:rFonts w:hint="eastAsia" w:ascii="宋体" w:hAnsi="宋体" w:cs="宋体"/>
          <w:sz w:val="30"/>
          <w:szCs w:val="30"/>
          <w:lang w:eastAsia="zh-CN"/>
        </w:rPr>
        <w:t>可能存在随意估算的情况；</w:t>
      </w:r>
      <w:r>
        <w:rPr>
          <w:rFonts w:hint="eastAsia" w:ascii="宋体" w:hAnsi="宋体" w:eastAsia="宋体" w:cs="宋体"/>
          <w:sz w:val="30"/>
          <w:szCs w:val="30"/>
          <w:lang w:eastAsia="zh-CN"/>
        </w:rPr>
        <w:t>二是财政部门在年初预算审批的时候，对预算控制较为严格，导致年初预算</w:t>
      </w:r>
      <w:r>
        <w:rPr>
          <w:rFonts w:hint="eastAsia" w:ascii="宋体" w:hAnsi="宋体" w:cs="宋体"/>
          <w:sz w:val="30"/>
          <w:szCs w:val="30"/>
          <w:lang w:eastAsia="zh-CN"/>
        </w:rPr>
        <w:t>存在漏项的情况</w:t>
      </w:r>
      <w:r>
        <w:rPr>
          <w:rFonts w:hint="eastAsia" w:ascii="宋体" w:hAnsi="宋体" w:eastAsia="宋体" w:cs="宋体"/>
          <w:sz w:val="30"/>
          <w:szCs w:val="30"/>
          <w:lang w:eastAsia="zh-CN"/>
        </w:rPr>
        <w:t>，给调整预算增加了较大的空间。</w:t>
      </w:r>
    </w:p>
    <w:p>
      <w:pPr>
        <w:ind w:firstLine="600" w:firstLineChars="200"/>
        <w:rPr>
          <w:rFonts w:hint="eastAsia" w:ascii="宋体" w:hAnsi="宋体" w:eastAsia="宋体" w:cs="宋体"/>
          <w:b w:val="0"/>
          <w:bCs w:val="0"/>
          <w:color w:val="000000"/>
          <w:sz w:val="30"/>
          <w:szCs w:val="30"/>
          <w:highlight w:val="none"/>
          <w:lang w:val="en-US" w:eastAsia="zh-CN"/>
        </w:rPr>
      </w:pPr>
      <w:r>
        <w:rPr>
          <w:rFonts w:hint="eastAsia" w:ascii="宋体" w:hAnsi="宋体" w:cs="宋体"/>
          <w:b w:val="0"/>
          <w:bCs w:val="0"/>
          <w:color w:val="000000"/>
          <w:sz w:val="30"/>
          <w:szCs w:val="30"/>
          <w:highlight w:val="none"/>
          <w:lang w:val="en-US" w:eastAsia="zh-CN"/>
        </w:rPr>
        <w:t>（2）</w:t>
      </w:r>
      <w:r>
        <w:rPr>
          <w:rFonts w:hint="eastAsia" w:ascii="宋体" w:hAnsi="宋体" w:eastAsia="宋体" w:cs="宋体"/>
          <w:b w:val="0"/>
          <w:bCs w:val="0"/>
          <w:color w:val="000000"/>
          <w:sz w:val="30"/>
          <w:szCs w:val="30"/>
          <w:highlight w:val="none"/>
          <w:lang w:val="en-US" w:eastAsia="zh-CN"/>
        </w:rPr>
        <w:t>分项预算与实际支付差异情况</w:t>
      </w:r>
    </w:p>
    <w:p>
      <w:pPr>
        <w:numPr>
          <w:ilvl w:val="0"/>
          <w:numId w:val="0"/>
        </w:numPr>
        <w:ind w:firstLine="900" w:firstLineChars="300"/>
        <w:rPr>
          <w:rFonts w:hint="eastAsia" w:ascii="宋体" w:hAnsi="宋体" w:eastAsia="宋体" w:cs="宋体"/>
          <w:sz w:val="30"/>
          <w:szCs w:val="30"/>
          <w:lang w:eastAsia="zh-CN"/>
        </w:rPr>
      </w:pPr>
      <w:r>
        <w:rPr>
          <w:rFonts w:hint="eastAsia" w:ascii="宋体" w:hAnsi="宋体" w:eastAsia="宋体" w:cs="宋体"/>
          <w:b w:val="0"/>
          <w:bCs w:val="0"/>
          <w:sz w:val="30"/>
          <w:szCs w:val="30"/>
          <w:lang w:val="en-US" w:eastAsia="zh-CN"/>
        </w:rPr>
        <w:t>①工资福利支出：</w:t>
      </w:r>
      <w:r>
        <w:rPr>
          <w:rFonts w:hint="eastAsia" w:ascii="宋体" w:hAnsi="宋体" w:eastAsia="宋体" w:cs="宋体"/>
          <w:sz w:val="30"/>
          <w:szCs w:val="30"/>
          <w:lang w:eastAsia="zh-CN"/>
        </w:rPr>
        <w:t>工资福利</w:t>
      </w:r>
      <w:r>
        <w:rPr>
          <w:rFonts w:hint="eastAsia" w:ascii="宋体" w:hAnsi="宋体" w:eastAsia="宋体" w:cs="宋体"/>
          <w:sz w:val="30"/>
          <w:szCs w:val="30"/>
          <w:lang w:val="en-US" w:eastAsia="zh-CN"/>
        </w:rPr>
        <w:t>预算160.74万元，实际支出286.5万</w:t>
      </w:r>
      <w:r>
        <w:rPr>
          <w:rFonts w:hint="eastAsia" w:ascii="宋体" w:hAnsi="宋体" w:eastAsia="宋体" w:cs="宋体"/>
          <w:sz w:val="30"/>
          <w:szCs w:val="30"/>
          <w:lang w:eastAsia="zh-CN"/>
        </w:rPr>
        <w:t>元，</w:t>
      </w:r>
      <w:r>
        <w:rPr>
          <w:rFonts w:hint="eastAsia" w:ascii="宋体" w:hAnsi="宋体" w:eastAsia="宋体" w:cs="宋体"/>
          <w:sz w:val="30"/>
          <w:szCs w:val="30"/>
          <w:lang w:val="en-US" w:eastAsia="zh-CN"/>
        </w:rPr>
        <w:t>超预算125.76万元</w:t>
      </w:r>
      <w:r>
        <w:rPr>
          <w:rFonts w:hint="eastAsia" w:ascii="宋体" w:hAnsi="宋体" w:cs="宋体"/>
          <w:sz w:val="30"/>
          <w:szCs w:val="30"/>
          <w:lang w:val="en-US" w:eastAsia="zh-CN"/>
        </w:rPr>
        <w:t>，</w:t>
      </w:r>
      <w:r>
        <w:rPr>
          <w:rFonts w:hint="eastAsia" w:ascii="宋体" w:hAnsi="宋体" w:eastAsia="宋体" w:cs="宋体"/>
          <w:sz w:val="30"/>
          <w:szCs w:val="30"/>
          <w:lang w:val="en-US" w:eastAsia="zh-CN"/>
        </w:rPr>
        <w:t>主要原因是</w:t>
      </w:r>
      <w:r>
        <w:rPr>
          <w:rFonts w:hint="eastAsia" w:ascii="宋体" w:hAnsi="宋体" w:cs="宋体"/>
          <w:sz w:val="30"/>
          <w:szCs w:val="30"/>
          <w:lang w:val="en-US" w:eastAsia="zh-CN"/>
        </w:rPr>
        <w:t>年终绩效未纳入年初预算</w:t>
      </w:r>
      <w:r>
        <w:rPr>
          <w:rFonts w:hint="eastAsia" w:ascii="宋体" w:hAnsi="宋体" w:eastAsia="宋体" w:cs="宋体"/>
          <w:sz w:val="30"/>
          <w:szCs w:val="30"/>
          <w:lang w:eastAsia="zh-CN"/>
        </w:rPr>
        <w:t>。</w:t>
      </w:r>
    </w:p>
    <w:p>
      <w:pPr>
        <w:numPr>
          <w:ilvl w:val="0"/>
          <w:numId w:val="0"/>
        </w:numPr>
        <w:ind w:firstLine="600" w:firstLineChars="200"/>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sz w:val="30"/>
          <w:szCs w:val="30"/>
          <w:lang w:val="en-US" w:eastAsia="zh-CN"/>
        </w:rPr>
        <w:t xml:space="preserve"> ②</w:t>
      </w:r>
      <w:r>
        <w:rPr>
          <w:rFonts w:hint="eastAsia" w:ascii="宋体" w:hAnsi="宋体" w:eastAsia="宋体" w:cs="宋体"/>
          <w:b w:val="0"/>
          <w:bCs w:val="0"/>
          <w:color w:val="000000"/>
          <w:sz w:val="30"/>
          <w:szCs w:val="30"/>
          <w:highlight w:val="none"/>
        </w:rPr>
        <w:t>商品</w:t>
      </w:r>
      <w:r>
        <w:rPr>
          <w:rFonts w:hint="eastAsia" w:ascii="宋体" w:hAnsi="宋体" w:eastAsia="宋体" w:cs="宋体"/>
          <w:b w:val="0"/>
          <w:bCs w:val="0"/>
          <w:color w:val="000000"/>
          <w:sz w:val="30"/>
          <w:szCs w:val="30"/>
          <w:highlight w:val="none"/>
          <w:lang w:val="en-US" w:eastAsia="zh-CN"/>
        </w:rPr>
        <w:t>和</w:t>
      </w:r>
      <w:r>
        <w:rPr>
          <w:rFonts w:hint="eastAsia" w:ascii="宋体" w:hAnsi="宋体" w:eastAsia="宋体" w:cs="宋体"/>
          <w:b w:val="0"/>
          <w:bCs w:val="0"/>
          <w:color w:val="000000"/>
          <w:sz w:val="30"/>
          <w:szCs w:val="30"/>
          <w:highlight w:val="none"/>
        </w:rPr>
        <w:t>服务</w:t>
      </w:r>
      <w:r>
        <w:rPr>
          <w:rFonts w:hint="eastAsia" w:ascii="宋体" w:hAnsi="宋体" w:eastAsia="宋体" w:cs="宋体"/>
          <w:b w:val="0"/>
          <w:bCs w:val="0"/>
          <w:color w:val="000000"/>
          <w:sz w:val="30"/>
          <w:szCs w:val="30"/>
          <w:highlight w:val="none"/>
          <w:lang w:val="en-US" w:eastAsia="zh-CN"/>
        </w:rPr>
        <w:t>预算</w:t>
      </w:r>
      <w:r>
        <w:rPr>
          <w:rFonts w:hint="eastAsia" w:ascii="宋体" w:hAnsi="宋体" w:eastAsia="宋体" w:cs="宋体"/>
          <w:b w:val="0"/>
          <w:bCs w:val="0"/>
          <w:color w:val="000000"/>
          <w:sz w:val="30"/>
          <w:szCs w:val="30"/>
          <w:highlight w:val="none"/>
        </w:rPr>
        <w:t>支出费</w:t>
      </w:r>
      <w:r>
        <w:rPr>
          <w:rFonts w:hint="eastAsia" w:ascii="宋体" w:hAnsi="宋体" w:eastAsia="宋体" w:cs="宋体"/>
          <w:b w:val="0"/>
          <w:bCs w:val="0"/>
          <w:color w:val="000000"/>
          <w:sz w:val="30"/>
          <w:szCs w:val="30"/>
          <w:highlight w:val="none"/>
          <w:lang w:val="en-US" w:eastAsia="zh-CN"/>
        </w:rPr>
        <w:t>12.38万元，实际支出114.21万</w:t>
      </w:r>
      <w:r>
        <w:rPr>
          <w:rFonts w:hint="eastAsia" w:ascii="宋体" w:hAnsi="宋体" w:eastAsia="宋体" w:cs="宋体"/>
          <w:b w:val="0"/>
          <w:bCs w:val="0"/>
          <w:color w:val="000000"/>
          <w:sz w:val="30"/>
          <w:szCs w:val="30"/>
          <w:highlight w:val="none"/>
        </w:rPr>
        <w:t>元，</w:t>
      </w:r>
      <w:r>
        <w:rPr>
          <w:rFonts w:hint="eastAsia" w:ascii="宋体" w:hAnsi="宋体" w:eastAsia="宋体" w:cs="宋体"/>
          <w:b w:val="0"/>
          <w:bCs w:val="0"/>
          <w:color w:val="000000"/>
          <w:sz w:val="30"/>
          <w:szCs w:val="30"/>
          <w:highlight w:val="none"/>
          <w:lang w:val="en-US" w:eastAsia="zh-CN"/>
        </w:rPr>
        <w:t>超预算101.83万元；超支主要</w:t>
      </w:r>
      <w:r>
        <w:rPr>
          <w:rFonts w:hint="eastAsia" w:ascii="宋体" w:hAnsi="宋体" w:eastAsia="宋体" w:cs="宋体"/>
          <w:b w:val="0"/>
          <w:bCs w:val="0"/>
          <w:color w:val="auto"/>
          <w:sz w:val="30"/>
          <w:szCs w:val="30"/>
          <w:lang w:val="en-US" w:eastAsia="zh-CN"/>
        </w:rPr>
        <w:t>原因</w:t>
      </w:r>
      <w:r>
        <w:rPr>
          <w:rFonts w:hint="eastAsia" w:ascii="宋体" w:hAnsi="宋体" w:cs="宋体"/>
          <w:b w:val="0"/>
          <w:bCs w:val="0"/>
          <w:color w:val="auto"/>
          <w:sz w:val="30"/>
          <w:szCs w:val="30"/>
          <w:lang w:val="en-US" w:eastAsia="zh-CN"/>
        </w:rPr>
        <w:t>是维修费、电费等费用年初未列入预算，工会经费办公费等费用年初预算金额较小等因素所致。</w:t>
      </w:r>
    </w:p>
    <w:p>
      <w:pPr>
        <w:ind w:firstLine="600" w:firstLineChars="200"/>
        <w:rPr>
          <w:rFonts w:hint="eastAsia" w:ascii="宋体" w:hAnsi="宋体" w:eastAsia="宋体" w:cs="宋体"/>
          <w:b w:val="0"/>
          <w:bCs w:val="0"/>
          <w:color w:val="000000"/>
          <w:sz w:val="30"/>
          <w:szCs w:val="30"/>
          <w:highlight w:val="none"/>
          <w:lang w:val="en-US" w:eastAsia="zh-CN"/>
        </w:rPr>
      </w:pPr>
      <w:r>
        <w:rPr>
          <w:rFonts w:hint="eastAsia" w:ascii="宋体" w:hAnsi="宋体" w:eastAsia="宋体" w:cs="宋体"/>
          <w:b w:val="0"/>
          <w:bCs w:val="0"/>
          <w:sz w:val="30"/>
          <w:szCs w:val="30"/>
          <w:lang w:val="en-US" w:eastAsia="zh-CN"/>
        </w:rPr>
        <w:t>③</w:t>
      </w:r>
      <w:r>
        <w:rPr>
          <w:rFonts w:hint="eastAsia" w:ascii="宋体" w:hAnsi="宋体" w:eastAsia="宋体" w:cs="宋体"/>
          <w:b w:val="0"/>
          <w:bCs w:val="0"/>
          <w:color w:val="000000"/>
          <w:sz w:val="30"/>
          <w:szCs w:val="30"/>
          <w:highlight w:val="none"/>
        </w:rPr>
        <w:t>对个人和家庭的补助</w:t>
      </w:r>
      <w:r>
        <w:rPr>
          <w:rFonts w:hint="eastAsia" w:ascii="宋体" w:hAnsi="宋体" w:eastAsia="宋体" w:cs="宋体"/>
          <w:b w:val="0"/>
          <w:bCs w:val="0"/>
          <w:color w:val="000000"/>
          <w:sz w:val="30"/>
          <w:szCs w:val="30"/>
          <w:highlight w:val="none"/>
          <w:lang w:val="en-US" w:eastAsia="zh-CN"/>
        </w:rPr>
        <w:t>和其他开支无预算</w:t>
      </w:r>
      <w:r>
        <w:rPr>
          <w:rFonts w:hint="eastAsia" w:ascii="宋体" w:hAnsi="宋体" w:eastAsia="宋体" w:cs="宋体"/>
          <w:b w:val="0"/>
          <w:bCs w:val="0"/>
          <w:color w:val="000000"/>
          <w:sz w:val="30"/>
          <w:szCs w:val="30"/>
          <w:highlight w:val="none"/>
          <w:lang w:eastAsia="zh-CN"/>
        </w:rPr>
        <w:t>，</w:t>
      </w:r>
      <w:r>
        <w:rPr>
          <w:rFonts w:hint="eastAsia" w:ascii="宋体" w:hAnsi="宋体" w:eastAsia="宋体" w:cs="宋体"/>
          <w:b w:val="0"/>
          <w:bCs w:val="0"/>
          <w:color w:val="000000"/>
          <w:sz w:val="30"/>
          <w:szCs w:val="30"/>
          <w:highlight w:val="none"/>
          <w:lang w:val="en-US" w:eastAsia="zh-CN"/>
        </w:rPr>
        <w:t>实际支出30.46万元，超预算30.46万元；主要原因在于，抚恤金、固定资产折旧费等其他开支未列入预算。</w:t>
      </w:r>
    </w:p>
    <w:p>
      <w:pPr>
        <w:pStyle w:val="2"/>
        <w:ind w:left="0" w:leftChars="0" w:firstLine="600" w:firstLineChars="200"/>
        <w:rPr>
          <w:rFonts w:hint="eastAsia" w:ascii="宋体" w:hAnsi="宋体" w:eastAsia="宋体" w:cs="宋体"/>
          <w:b w:val="0"/>
          <w:bCs w:val="0"/>
          <w:color w:val="000000"/>
          <w:sz w:val="30"/>
          <w:szCs w:val="30"/>
          <w:highlight w:val="none"/>
          <w:lang w:val="en-US" w:eastAsia="zh-CN"/>
        </w:rPr>
      </w:pPr>
      <w:r>
        <w:rPr>
          <w:rFonts w:hint="eastAsia" w:ascii="宋体" w:hAnsi="宋体" w:eastAsia="宋体" w:cs="宋体"/>
          <w:b w:val="0"/>
          <w:bCs w:val="0"/>
          <w:kern w:val="2"/>
          <w:sz w:val="30"/>
          <w:szCs w:val="30"/>
          <w:lang w:val="en-US" w:eastAsia="zh-CN" w:bidi="ar-SA"/>
        </w:rPr>
        <w:t>④</w:t>
      </w:r>
      <w:r>
        <w:rPr>
          <w:rFonts w:hint="eastAsia" w:ascii="宋体" w:hAnsi="宋体" w:eastAsia="宋体" w:cs="宋体"/>
          <w:b w:val="0"/>
          <w:bCs w:val="0"/>
          <w:color w:val="000000"/>
          <w:sz w:val="30"/>
          <w:szCs w:val="30"/>
          <w:highlight w:val="none"/>
          <w:lang w:eastAsia="zh-CN"/>
        </w:rPr>
        <w:t>项目</w:t>
      </w:r>
      <w:r>
        <w:rPr>
          <w:rFonts w:hint="eastAsia" w:ascii="宋体" w:hAnsi="宋体" w:eastAsia="宋体" w:cs="宋体"/>
          <w:b w:val="0"/>
          <w:bCs w:val="0"/>
          <w:color w:val="000000"/>
          <w:sz w:val="30"/>
          <w:szCs w:val="30"/>
          <w:highlight w:val="none"/>
          <w:lang w:val="en-US" w:eastAsia="zh-CN"/>
        </w:rPr>
        <w:t>预算支出85万元，实际</w:t>
      </w:r>
      <w:r>
        <w:rPr>
          <w:rFonts w:hint="eastAsia" w:ascii="宋体" w:hAnsi="宋体" w:eastAsia="宋体" w:cs="宋体"/>
          <w:b w:val="0"/>
          <w:bCs w:val="0"/>
          <w:color w:val="000000"/>
          <w:sz w:val="30"/>
          <w:szCs w:val="30"/>
          <w:highlight w:val="none"/>
        </w:rPr>
        <w:t>支出</w:t>
      </w:r>
      <w:r>
        <w:rPr>
          <w:rFonts w:hint="eastAsia" w:ascii="宋体" w:hAnsi="宋体" w:eastAsia="宋体" w:cs="宋体"/>
          <w:b w:val="0"/>
          <w:bCs w:val="0"/>
          <w:color w:val="000000"/>
          <w:sz w:val="30"/>
          <w:szCs w:val="30"/>
          <w:highlight w:val="none"/>
          <w:lang w:val="en-US" w:eastAsia="zh-CN"/>
        </w:rPr>
        <w:t>310.94</w:t>
      </w:r>
      <w:r>
        <w:rPr>
          <w:rFonts w:hint="eastAsia" w:ascii="宋体" w:hAnsi="宋体" w:eastAsia="宋体" w:cs="宋体"/>
          <w:b w:val="0"/>
          <w:bCs w:val="0"/>
          <w:color w:val="000000"/>
          <w:sz w:val="30"/>
          <w:szCs w:val="30"/>
          <w:highlight w:val="none"/>
        </w:rPr>
        <w:t>元</w:t>
      </w:r>
      <w:r>
        <w:rPr>
          <w:rFonts w:hint="eastAsia" w:ascii="宋体" w:hAnsi="宋体" w:eastAsia="宋体" w:cs="宋体"/>
          <w:b w:val="0"/>
          <w:bCs w:val="0"/>
          <w:color w:val="000000"/>
          <w:sz w:val="30"/>
          <w:szCs w:val="30"/>
          <w:highlight w:val="none"/>
          <w:lang w:eastAsia="zh-CN"/>
        </w:rPr>
        <w:t>，</w:t>
      </w:r>
      <w:r>
        <w:rPr>
          <w:rFonts w:hint="eastAsia" w:ascii="宋体" w:hAnsi="宋体" w:eastAsia="宋体" w:cs="宋体"/>
          <w:b w:val="0"/>
          <w:bCs w:val="0"/>
          <w:color w:val="000000"/>
          <w:sz w:val="30"/>
          <w:szCs w:val="30"/>
          <w:highlight w:val="none"/>
          <w:lang w:val="en-US" w:eastAsia="zh-CN"/>
        </w:rPr>
        <w:t>超预算225.94万元。</w:t>
      </w:r>
    </w:p>
    <w:p>
      <w:pPr>
        <w:pStyle w:val="2"/>
        <w:ind w:left="0" w:leftChars="0" w:firstLine="600" w:firstLineChars="200"/>
        <w:rPr>
          <w:rFonts w:hint="default" w:ascii="宋体" w:hAnsi="宋体" w:eastAsia="宋体" w:cs="宋体"/>
          <w:b w:val="0"/>
          <w:bCs w:val="0"/>
          <w:color w:val="000000"/>
          <w:sz w:val="30"/>
          <w:szCs w:val="30"/>
          <w:highlight w:val="none"/>
          <w:lang w:val="en-US" w:eastAsia="zh-CN"/>
        </w:rPr>
      </w:pPr>
      <w:r>
        <w:rPr>
          <w:rFonts w:hint="eastAsia" w:ascii="宋体" w:hAnsi="宋体" w:cs="宋体"/>
          <w:b w:val="0"/>
          <w:bCs w:val="0"/>
          <w:color w:val="000000"/>
          <w:sz w:val="30"/>
          <w:szCs w:val="30"/>
          <w:highlight w:val="none"/>
          <w:lang w:val="en-US" w:eastAsia="zh-CN"/>
        </w:rPr>
        <w:t>以上预算及实际支出差异情况详见附表3。</w:t>
      </w:r>
    </w:p>
    <w:p>
      <w:pPr>
        <w:numPr>
          <w:ilvl w:val="0"/>
          <w:numId w:val="0"/>
        </w:numPr>
        <w:ind w:left="560" w:leftChars="0"/>
        <w:rPr>
          <w:rFonts w:hint="eastAsia" w:ascii="宋体" w:hAnsi="宋体" w:eastAsia="宋体" w:cs="宋体"/>
          <w:b/>
          <w:bCs/>
          <w:color w:val="1F497D"/>
          <w:sz w:val="30"/>
          <w:szCs w:val="30"/>
          <w:highlight w:val="none"/>
        </w:rPr>
      </w:pPr>
      <w:r>
        <w:rPr>
          <w:rFonts w:hint="eastAsia" w:ascii="宋体" w:hAnsi="宋体" w:eastAsia="宋体" w:cs="宋体"/>
          <w:b/>
          <w:bCs/>
          <w:color w:val="auto"/>
          <w:sz w:val="30"/>
          <w:szCs w:val="30"/>
          <w:highlight w:val="none"/>
          <w:lang w:eastAsia="zh-CN"/>
        </w:rPr>
        <w:t>（四）</w:t>
      </w:r>
      <w:r>
        <w:rPr>
          <w:rFonts w:hint="eastAsia" w:ascii="宋体" w:hAnsi="宋体" w:eastAsia="宋体" w:cs="宋体"/>
          <w:b/>
          <w:bCs/>
          <w:color w:val="auto"/>
          <w:sz w:val="30"/>
          <w:szCs w:val="30"/>
          <w:highlight w:val="none"/>
        </w:rPr>
        <w:t>固定资产购置及管理情况</w:t>
      </w:r>
      <w:r>
        <w:rPr>
          <w:rFonts w:hint="eastAsia" w:ascii="宋体" w:hAnsi="宋体" w:eastAsia="宋体" w:cs="宋体"/>
          <w:b/>
          <w:bCs/>
          <w:color w:val="1F497D"/>
          <w:sz w:val="30"/>
          <w:szCs w:val="30"/>
          <w:highlight w:val="none"/>
        </w:rPr>
        <w:t>：</w:t>
      </w:r>
    </w:p>
    <w:p>
      <w:pPr>
        <w:ind w:firstLine="602" w:firstLineChars="200"/>
        <w:rPr>
          <w:rFonts w:hint="eastAsia" w:ascii="宋体" w:hAnsi="宋体" w:eastAsia="宋体" w:cs="宋体"/>
          <w:sz w:val="30"/>
          <w:szCs w:val="30"/>
          <w:highlight w:val="none"/>
        </w:rPr>
      </w:pPr>
      <w:r>
        <w:rPr>
          <w:rFonts w:hint="eastAsia" w:ascii="宋体" w:hAnsi="宋体" w:eastAsia="宋体" w:cs="宋体"/>
          <w:b/>
          <w:bCs/>
          <w:sz w:val="30"/>
          <w:szCs w:val="30"/>
          <w:highlight w:val="none"/>
        </w:rPr>
        <w:t>1、资产情况：</w:t>
      </w:r>
      <w:r>
        <w:rPr>
          <w:rFonts w:hint="eastAsia" w:ascii="宋体" w:hAnsi="宋体" w:eastAsia="宋体" w:cs="宋体"/>
          <w:sz w:val="30"/>
          <w:szCs w:val="30"/>
          <w:highlight w:val="none"/>
        </w:rPr>
        <w:t>区</w:t>
      </w:r>
      <w:r>
        <w:rPr>
          <w:rFonts w:hint="eastAsia" w:ascii="宋体" w:hAnsi="宋体" w:eastAsia="宋体" w:cs="宋体"/>
          <w:sz w:val="30"/>
          <w:szCs w:val="30"/>
          <w:highlight w:val="none"/>
          <w:lang w:val="en-US" w:eastAsia="zh-CN"/>
        </w:rPr>
        <w:t>应急管理</w:t>
      </w:r>
      <w:r>
        <w:rPr>
          <w:rFonts w:hint="eastAsia" w:ascii="宋体" w:hAnsi="宋体" w:eastAsia="宋体" w:cs="宋体"/>
          <w:sz w:val="30"/>
          <w:szCs w:val="30"/>
          <w:highlight w:val="none"/>
        </w:rPr>
        <w:t>局2020年末固定资产余额</w:t>
      </w:r>
      <w:r>
        <w:rPr>
          <w:rFonts w:hint="eastAsia" w:ascii="宋体" w:hAnsi="宋体" w:eastAsia="宋体" w:cs="宋体"/>
          <w:sz w:val="30"/>
          <w:szCs w:val="30"/>
          <w:highlight w:val="none"/>
          <w:lang w:val="en-US" w:eastAsia="zh-CN"/>
        </w:rPr>
        <w:t>497,882</w:t>
      </w:r>
      <w:r>
        <w:rPr>
          <w:rFonts w:hint="eastAsia" w:ascii="宋体" w:hAnsi="宋体" w:eastAsia="宋体" w:cs="宋体"/>
          <w:sz w:val="30"/>
          <w:szCs w:val="30"/>
          <w:highlight w:val="none"/>
        </w:rPr>
        <w:t>元。区</w:t>
      </w:r>
      <w:r>
        <w:rPr>
          <w:rFonts w:hint="eastAsia" w:ascii="宋体" w:hAnsi="宋体" w:eastAsia="宋体" w:cs="宋体"/>
          <w:sz w:val="30"/>
          <w:szCs w:val="30"/>
          <w:highlight w:val="none"/>
          <w:lang w:val="en-US" w:eastAsia="zh-CN"/>
        </w:rPr>
        <w:t>应急管理局</w:t>
      </w:r>
      <w:r>
        <w:rPr>
          <w:rFonts w:hint="eastAsia" w:ascii="宋体" w:hAnsi="宋体" w:eastAsia="宋体" w:cs="宋体"/>
          <w:sz w:val="30"/>
          <w:szCs w:val="30"/>
          <w:highlight w:val="none"/>
        </w:rPr>
        <w:t>固定资产上年结转余额</w:t>
      </w:r>
      <w:r>
        <w:rPr>
          <w:rFonts w:hint="eastAsia" w:ascii="宋体" w:hAnsi="宋体" w:eastAsia="宋体" w:cs="宋体"/>
          <w:sz w:val="30"/>
          <w:szCs w:val="30"/>
          <w:highlight w:val="none"/>
          <w:lang w:val="en-US" w:eastAsia="zh-CN"/>
        </w:rPr>
        <w:t>84,521</w:t>
      </w:r>
      <w:r>
        <w:rPr>
          <w:rFonts w:hint="eastAsia" w:ascii="宋体" w:hAnsi="宋体" w:eastAsia="宋体" w:cs="宋体"/>
          <w:sz w:val="30"/>
          <w:szCs w:val="30"/>
          <w:highlight w:val="none"/>
        </w:rPr>
        <w:t>元。20</w:t>
      </w:r>
      <w:r>
        <w:rPr>
          <w:rFonts w:hint="eastAsia" w:ascii="宋体" w:hAnsi="宋体" w:eastAsia="宋体" w:cs="宋体"/>
          <w:sz w:val="30"/>
          <w:szCs w:val="30"/>
          <w:highlight w:val="none"/>
          <w:lang w:val="en-US" w:eastAsia="zh-CN"/>
        </w:rPr>
        <w:t>20</w:t>
      </w:r>
      <w:r>
        <w:rPr>
          <w:rFonts w:hint="eastAsia" w:ascii="宋体" w:hAnsi="宋体" w:eastAsia="宋体" w:cs="宋体"/>
          <w:sz w:val="30"/>
          <w:szCs w:val="30"/>
          <w:highlight w:val="none"/>
        </w:rPr>
        <w:t>年度新增为4</w:t>
      </w:r>
      <w:r>
        <w:rPr>
          <w:rFonts w:hint="eastAsia" w:ascii="宋体" w:hAnsi="宋体" w:eastAsia="宋体" w:cs="宋体"/>
          <w:sz w:val="30"/>
          <w:szCs w:val="30"/>
          <w:highlight w:val="none"/>
          <w:lang w:val="en-US" w:eastAsia="zh-CN"/>
        </w:rPr>
        <w:t>13,361</w:t>
      </w:r>
      <w:r>
        <w:rPr>
          <w:rFonts w:hint="eastAsia" w:ascii="宋体" w:hAnsi="宋体" w:eastAsia="宋体" w:cs="宋体"/>
          <w:sz w:val="30"/>
          <w:szCs w:val="30"/>
          <w:highlight w:val="none"/>
        </w:rPr>
        <w:t>元。</w:t>
      </w:r>
    </w:p>
    <w:p>
      <w:pPr>
        <w:ind w:firstLine="602" w:firstLineChars="200"/>
        <w:rPr>
          <w:rFonts w:hint="eastAsia" w:ascii="宋体" w:hAnsi="宋体" w:eastAsia="宋体" w:cs="宋体"/>
          <w:b/>
          <w:bCs/>
          <w:color w:val="auto"/>
          <w:sz w:val="30"/>
          <w:szCs w:val="30"/>
          <w:lang w:val="en-US" w:eastAsia="zh-CN"/>
        </w:rPr>
      </w:pPr>
      <w:r>
        <w:rPr>
          <w:rFonts w:hint="eastAsia" w:ascii="宋体" w:hAnsi="宋体" w:eastAsia="宋体" w:cs="宋体"/>
          <w:b/>
          <w:bCs/>
          <w:sz w:val="30"/>
          <w:szCs w:val="30"/>
          <w:highlight w:val="none"/>
        </w:rPr>
        <w:t>2、2020年新增情况：</w:t>
      </w:r>
      <w:r>
        <w:rPr>
          <w:rFonts w:hint="eastAsia" w:ascii="宋体" w:hAnsi="宋体" w:eastAsia="宋体" w:cs="宋体"/>
          <w:sz w:val="30"/>
          <w:szCs w:val="30"/>
          <w:highlight w:val="none"/>
        </w:rPr>
        <w:t>2020年</w:t>
      </w:r>
      <w:r>
        <w:rPr>
          <w:rFonts w:hint="eastAsia" w:ascii="宋体" w:hAnsi="宋体" w:eastAsia="宋体" w:cs="宋体"/>
          <w:sz w:val="30"/>
          <w:szCs w:val="30"/>
        </w:rPr>
        <w:t>度固定资产累计新增为</w:t>
      </w:r>
      <w:r>
        <w:rPr>
          <w:rFonts w:hint="eastAsia" w:ascii="宋体" w:hAnsi="宋体" w:eastAsia="宋体" w:cs="宋体"/>
          <w:sz w:val="30"/>
          <w:szCs w:val="30"/>
          <w:highlight w:val="none"/>
        </w:rPr>
        <w:t>4</w:t>
      </w:r>
      <w:r>
        <w:rPr>
          <w:rFonts w:hint="eastAsia" w:ascii="宋体" w:hAnsi="宋体" w:eastAsia="宋体" w:cs="宋体"/>
          <w:sz w:val="30"/>
          <w:szCs w:val="30"/>
          <w:highlight w:val="none"/>
          <w:lang w:val="en-US" w:eastAsia="zh-CN"/>
        </w:rPr>
        <w:t>13,361</w:t>
      </w:r>
      <w:r>
        <w:rPr>
          <w:rFonts w:hint="eastAsia" w:ascii="宋体" w:hAnsi="宋体" w:eastAsia="宋体" w:cs="宋体"/>
          <w:sz w:val="30"/>
          <w:szCs w:val="30"/>
          <w:highlight w:val="none"/>
        </w:rPr>
        <w:t>元</w:t>
      </w:r>
      <w:r>
        <w:rPr>
          <w:rFonts w:hint="eastAsia" w:ascii="宋体" w:hAnsi="宋体" w:eastAsia="宋体" w:cs="宋体"/>
          <w:sz w:val="30"/>
          <w:szCs w:val="30"/>
        </w:rPr>
        <w:t>，具体</w:t>
      </w:r>
      <w:r>
        <w:rPr>
          <w:rFonts w:hint="eastAsia" w:ascii="宋体" w:hAnsi="宋体" w:eastAsia="宋体" w:cs="宋体"/>
          <w:sz w:val="30"/>
          <w:szCs w:val="30"/>
          <w:lang w:val="en-US" w:eastAsia="zh-CN"/>
        </w:rPr>
        <w:t>新增</w:t>
      </w:r>
      <w:r>
        <w:rPr>
          <w:rFonts w:hint="eastAsia" w:ascii="宋体" w:hAnsi="宋体" w:eastAsia="宋体" w:cs="宋体"/>
          <w:sz w:val="30"/>
          <w:szCs w:val="30"/>
        </w:rPr>
        <w:t>明细情况如下：计算机网络设备</w:t>
      </w:r>
      <w:r>
        <w:rPr>
          <w:rFonts w:hint="eastAsia" w:ascii="宋体" w:hAnsi="宋体" w:eastAsia="宋体" w:cs="宋体"/>
          <w:sz w:val="30"/>
          <w:szCs w:val="30"/>
          <w:lang w:val="en-US" w:eastAsia="zh-CN"/>
        </w:rPr>
        <w:t>1套148</w:t>
      </w:r>
      <w:r>
        <w:rPr>
          <w:rFonts w:hint="eastAsia" w:ascii="宋体" w:hAnsi="宋体" w:eastAsia="宋体" w:cs="宋体"/>
          <w:sz w:val="30"/>
          <w:szCs w:val="30"/>
          <w:highlight w:val="none"/>
          <w:lang w:val="en-US" w:eastAsia="zh-CN"/>
        </w:rPr>
        <w:t>,</w:t>
      </w:r>
      <w:r>
        <w:rPr>
          <w:rFonts w:hint="eastAsia" w:ascii="宋体" w:hAnsi="宋体" w:eastAsia="宋体" w:cs="宋体"/>
          <w:sz w:val="30"/>
          <w:szCs w:val="30"/>
          <w:lang w:val="en-US" w:eastAsia="zh-CN"/>
        </w:rPr>
        <w:t>136元，音响设备1套77</w:t>
      </w:r>
      <w:r>
        <w:rPr>
          <w:rFonts w:hint="eastAsia" w:ascii="宋体" w:hAnsi="宋体" w:eastAsia="宋体" w:cs="宋体"/>
          <w:sz w:val="30"/>
          <w:szCs w:val="30"/>
          <w:highlight w:val="none"/>
          <w:lang w:val="en-US" w:eastAsia="zh-CN"/>
        </w:rPr>
        <w:t>,</w:t>
      </w:r>
      <w:r>
        <w:rPr>
          <w:rFonts w:hint="eastAsia" w:ascii="宋体" w:hAnsi="宋体" w:eastAsia="宋体" w:cs="宋体"/>
          <w:sz w:val="30"/>
          <w:szCs w:val="30"/>
          <w:lang w:val="en-US" w:eastAsia="zh-CN"/>
        </w:rPr>
        <w:t>950元，计算机外部设备1套140</w:t>
      </w:r>
      <w:r>
        <w:rPr>
          <w:rFonts w:hint="eastAsia" w:ascii="宋体" w:hAnsi="宋体" w:eastAsia="宋体" w:cs="宋体"/>
          <w:sz w:val="30"/>
          <w:szCs w:val="30"/>
          <w:highlight w:val="none"/>
          <w:lang w:val="en-US" w:eastAsia="zh-CN"/>
        </w:rPr>
        <w:t>,</w:t>
      </w:r>
      <w:r>
        <w:rPr>
          <w:rFonts w:hint="eastAsia" w:ascii="宋体" w:hAnsi="宋体" w:eastAsia="宋体" w:cs="宋体"/>
          <w:sz w:val="30"/>
          <w:szCs w:val="30"/>
          <w:lang w:val="en-US" w:eastAsia="zh-CN"/>
        </w:rPr>
        <w:t>916元，椅子4把1400元，办公桌4张4460元，财务用高拍仪1套1350元，格力空调1台2350元，台式电脑1批24</w:t>
      </w:r>
      <w:r>
        <w:rPr>
          <w:rFonts w:hint="eastAsia" w:ascii="宋体" w:hAnsi="宋体" w:eastAsia="宋体" w:cs="宋体"/>
          <w:sz w:val="30"/>
          <w:szCs w:val="30"/>
          <w:highlight w:val="none"/>
          <w:lang w:val="en-US" w:eastAsia="zh-CN"/>
        </w:rPr>
        <w:t>,</w:t>
      </w:r>
      <w:r>
        <w:rPr>
          <w:rFonts w:hint="eastAsia" w:ascii="宋体" w:hAnsi="宋体" w:eastAsia="宋体" w:cs="宋体"/>
          <w:sz w:val="30"/>
          <w:szCs w:val="30"/>
          <w:lang w:val="en-US" w:eastAsia="zh-CN"/>
        </w:rPr>
        <w:t>300元，机房用空调1台7599元，床1张1800元，电热水器1台1900元，HP136A打印、复印一体机1台1200元。</w:t>
      </w:r>
    </w:p>
    <w:p>
      <w:pPr>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(五)职责履行情况</w:t>
      </w:r>
    </w:p>
    <w:p>
      <w:pPr>
        <w:ind w:firstLine="600" w:firstLineChars="200"/>
        <w:rPr>
          <w:rFonts w:hint="eastAsia" w:ascii="宋体" w:hAnsi="宋体" w:eastAsia="宋体" w:cs="宋体"/>
          <w:b/>
          <w:bCs/>
          <w:sz w:val="30"/>
          <w:szCs w:val="30"/>
        </w:rPr>
      </w:pPr>
      <w:r>
        <w:rPr>
          <w:rFonts w:hint="eastAsia" w:ascii="宋体" w:hAnsi="宋体" w:eastAsia="宋体" w:cs="宋体"/>
          <w:sz w:val="30"/>
          <w:szCs w:val="30"/>
        </w:rPr>
        <w:t>1、</w:t>
      </w:r>
      <w:r>
        <w:rPr>
          <w:rFonts w:hint="eastAsia" w:ascii="宋体" w:hAnsi="宋体" w:eastAsia="宋体" w:cs="宋体"/>
          <w:b/>
          <w:bCs/>
          <w:sz w:val="30"/>
          <w:szCs w:val="30"/>
        </w:rPr>
        <w:t>目标任务（产出）完成情况</w:t>
      </w:r>
    </w:p>
    <w:p>
      <w:pPr>
        <w:pStyle w:val="2"/>
        <w:ind w:left="0" w:leftChars="0" w:firstLine="600" w:firstLineChars="200"/>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1）区应急局先后对重点危化企业开展了2轮国务院安委办重点县专家指导服务，共指导服务企业6家，排查隐患330余项，停产停业整顿企业2家；对辖区内重点企业开展外包业务及化学品仓储专项执法检查抽查，共检查企业68家次，排查各类安全隐患412项，立案查处5家次，目前检查发现的隐患已基本整改完成；组织专家开展涉硝酸铵等五类企业两轮次专项摸排检查，共检查企业10家次，责令停产停业整顿2家，责令限期整改10家次。</w:t>
      </w:r>
    </w:p>
    <w:p>
      <w:pPr>
        <w:pStyle w:val="2"/>
        <w:ind w:left="0" w:leftChars="0" w:firstLine="600" w:firstLineChars="200"/>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（2）危险化学品及工贸行业安全生产领域的顽瘴痼疾已经完成整改13家，整治问题和隐患25个。</w:t>
      </w:r>
    </w:p>
    <w:p>
      <w:pPr>
        <w:pStyle w:val="2"/>
        <w:ind w:left="0" w:leftChars="0" w:firstLine="600" w:firstLineChars="200"/>
        <w:rPr>
          <w:rFonts w:hint="eastAsia" w:ascii="宋体" w:hAnsi="宋体" w:eastAsia="宋体" w:cs="宋体"/>
          <w:sz w:val="30"/>
          <w:szCs w:val="30"/>
          <w:lang w:val="en-US" w:eastAsia="zh-CN"/>
        </w:rPr>
      </w:pPr>
      <w:r>
        <w:rPr>
          <w:rFonts w:hint="eastAsia" w:ascii="宋体" w:hAnsi="宋体" w:eastAsia="宋体" w:cs="宋体"/>
          <w:kern w:val="2"/>
          <w:sz w:val="30"/>
          <w:szCs w:val="30"/>
          <w:lang w:val="en-US" w:eastAsia="zh-CN" w:bidi="ar-SA"/>
        </w:rPr>
        <w:t>（3）检查辖区内重点企业81家，出动执法人员和聘请专家120余人次，出动执法车辆90余辆次，共排查安全生产事故隐患297条，下达执法文书102份。</w:t>
      </w:r>
    </w:p>
    <w:p>
      <w:pPr>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2、完成质量、时效及效果</w:t>
      </w:r>
      <w:r>
        <w:rPr>
          <w:rFonts w:hint="eastAsia" w:ascii="宋体" w:hAnsi="宋体" w:eastAsia="宋体" w:cs="宋体"/>
          <w:b/>
          <w:bCs/>
          <w:sz w:val="30"/>
          <w:szCs w:val="30"/>
          <w:highlight w:val="none"/>
        </w:rPr>
        <w:t>：</w:t>
      </w:r>
      <w:r>
        <w:rPr>
          <w:rFonts w:hint="eastAsia" w:ascii="宋体" w:hAnsi="宋体" w:eastAsia="宋体" w:cs="宋体"/>
          <w:sz w:val="30"/>
          <w:szCs w:val="30"/>
          <w:highlight w:val="none"/>
        </w:rPr>
        <w:t>问卷调查群众满意度较高，达到</w:t>
      </w:r>
      <w:r>
        <w:rPr>
          <w:rFonts w:hint="eastAsia" w:ascii="宋体" w:hAnsi="宋体" w:eastAsia="宋体" w:cs="宋体"/>
          <w:sz w:val="30"/>
          <w:szCs w:val="30"/>
          <w:highlight w:val="none"/>
          <w:lang w:val="en-US" w:eastAsia="zh-CN"/>
        </w:rPr>
        <w:t>98</w:t>
      </w:r>
      <w:r>
        <w:rPr>
          <w:rFonts w:hint="eastAsia" w:ascii="宋体" w:hAnsi="宋体" w:eastAsia="宋体" w:cs="宋体"/>
          <w:sz w:val="30"/>
          <w:szCs w:val="30"/>
          <w:highlight w:val="none"/>
        </w:rPr>
        <w:t>%。</w:t>
      </w:r>
    </w:p>
    <w:p>
      <w:pPr>
        <w:ind w:firstLine="602" w:firstLineChars="200"/>
        <w:rPr>
          <w:rFonts w:hint="eastAsia" w:ascii="宋体" w:hAnsi="宋体" w:eastAsia="宋体" w:cs="宋体"/>
          <w:sz w:val="30"/>
          <w:szCs w:val="30"/>
        </w:rPr>
      </w:pPr>
      <w:r>
        <w:rPr>
          <w:rFonts w:hint="eastAsia" w:ascii="宋体" w:hAnsi="宋体" w:eastAsia="宋体" w:cs="宋体"/>
          <w:b/>
          <w:bCs/>
          <w:sz w:val="30"/>
          <w:szCs w:val="30"/>
        </w:rPr>
        <w:t>3、</w:t>
      </w:r>
      <w:r>
        <w:rPr>
          <w:rFonts w:hint="eastAsia" w:ascii="宋体" w:hAnsi="宋体" w:eastAsia="宋体" w:cs="宋体"/>
          <w:b/>
          <w:bCs/>
          <w:sz w:val="30"/>
          <w:szCs w:val="30"/>
          <w:lang w:eastAsia="zh-CN"/>
        </w:rPr>
        <w:t>成本控制：</w:t>
      </w:r>
      <w:r>
        <w:rPr>
          <w:rFonts w:hint="eastAsia" w:ascii="宋体" w:hAnsi="宋体" w:eastAsia="宋体" w:cs="宋体"/>
          <w:sz w:val="30"/>
          <w:szCs w:val="30"/>
          <w:highlight w:val="none"/>
        </w:rPr>
        <w:t>经费支出总额控制</w:t>
      </w:r>
      <w:r>
        <w:rPr>
          <w:rFonts w:hint="eastAsia" w:ascii="宋体" w:hAnsi="宋体" w:eastAsia="宋体" w:cs="宋体"/>
          <w:sz w:val="30"/>
          <w:szCs w:val="30"/>
          <w:highlight w:val="none"/>
          <w:lang w:val="en-US" w:eastAsia="zh-CN"/>
        </w:rPr>
        <w:t>超出</w:t>
      </w:r>
      <w:r>
        <w:rPr>
          <w:rFonts w:hint="eastAsia" w:ascii="宋体" w:hAnsi="宋体" w:eastAsia="宋体" w:cs="宋体"/>
          <w:sz w:val="30"/>
          <w:szCs w:val="30"/>
          <w:highlight w:val="none"/>
        </w:rPr>
        <w:t>预算</w:t>
      </w:r>
    </w:p>
    <w:p>
      <w:pPr>
        <w:ind w:firstLine="602" w:firstLineChars="200"/>
        <w:rPr>
          <w:rFonts w:hint="eastAsia" w:ascii="宋体" w:hAnsi="宋体" w:eastAsia="宋体" w:cs="宋体"/>
          <w:b/>
          <w:bCs/>
          <w:sz w:val="30"/>
          <w:szCs w:val="30"/>
        </w:rPr>
      </w:pPr>
      <w:r>
        <w:rPr>
          <w:rFonts w:hint="eastAsia" w:ascii="宋体" w:hAnsi="宋体" w:eastAsia="宋体" w:cs="宋体"/>
          <w:b/>
          <w:bCs/>
          <w:sz w:val="30"/>
          <w:szCs w:val="30"/>
          <w:lang w:eastAsia="zh-CN"/>
        </w:rPr>
        <w:t>五</w:t>
      </w:r>
      <w:r>
        <w:rPr>
          <w:rFonts w:hint="eastAsia" w:ascii="宋体" w:hAnsi="宋体" w:eastAsia="宋体" w:cs="宋体"/>
          <w:b/>
          <w:bCs/>
          <w:sz w:val="30"/>
          <w:szCs w:val="30"/>
        </w:rPr>
        <w:t>、主要绩效和评价结论</w:t>
      </w:r>
    </w:p>
    <w:p>
      <w:pPr>
        <w:ind w:firstLine="602" w:firstLineChars="200"/>
        <w:rPr>
          <w:rFonts w:hint="eastAsia" w:ascii="宋体" w:hAnsi="宋体" w:eastAsia="宋体" w:cs="宋体"/>
          <w:sz w:val="30"/>
          <w:szCs w:val="30"/>
        </w:rPr>
      </w:pPr>
      <w:r>
        <w:rPr>
          <w:rFonts w:hint="eastAsia" w:ascii="宋体" w:hAnsi="宋体" w:eastAsia="宋体" w:cs="宋体"/>
          <w:b/>
          <w:bCs/>
          <w:sz w:val="30"/>
          <w:szCs w:val="30"/>
        </w:rPr>
        <w:t xml:space="preserve"> </w:t>
      </w:r>
      <w:r>
        <w:rPr>
          <w:rFonts w:hint="eastAsia" w:ascii="宋体" w:hAnsi="宋体" w:eastAsia="宋体" w:cs="宋体"/>
          <w:b/>
          <w:bCs/>
          <w:sz w:val="30"/>
          <w:szCs w:val="30"/>
          <w:lang w:eastAsia="zh-CN"/>
        </w:rPr>
        <w:t>（一）绩效</w:t>
      </w:r>
      <w:r>
        <w:rPr>
          <w:rFonts w:hint="eastAsia" w:ascii="宋体" w:hAnsi="宋体" w:eastAsia="宋体" w:cs="宋体"/>
          <w:b/>
          <w:bCs/>
          <w:sz w:val="30"/>
          <w:szCs w:val="30"/>
        </w:rPr>
        <w:t>评价结论</w:t>
      </w:r>
    </w:p>
    <w:p>
      <w:pPr>
        <w:ind w:firstLine="600" w:firstLineChars="200"/>
        <w:rPr>
          <w:rFonts w:hint="eastAsia" w:ascii="宋体" w:hAnsi="宋体" w:eastAsia="宋体" w:cs="宋体"/>
          <w:bCs/>
          <w:sz w:val="30"/>
          <w:szCs w:val="30"/>
        </w:rPr>
      </w:pPr>
      <w:r>
        <w:rPr>
          <w:rFonts w:hint="eastAsia" w:ascii="宋体" w:hAnsi="宋体" w:eastAsia="宋体" w:cs="宋体"/>
          <w:sz w:val="30"/>
          <w:szCs w:val="30"/>
        </w:rPr>
        <w:t>根据绩效考核评分细则，绩效评价小组认为：20</w:t>
      </w:r>
      <w:r>
        <w:rPr>
          <w:rFonts w:hint="eastAsia" w:ascii="宋体" w:hAnsi="宋体" w:eastAsia="宋体" w:cs="宋体"/>
          <w:sz w:val="30"/>
          <w:szCs w:val="30"/>
          <w:lang w:val="en-US" w:eastAsia="zh-CN"/>
        </w:rPr>
        <w:t>20</w:t>
      </w:r>
      <w:r>
        <w:rPr>
          <w:rFonts w:hint="eastAsia" w:ascii="宋体" w:hAnsi="宋体" w:eastAsia="宋体" w:cs="宋体"/>
          <w:sz w:val="30"/>
          <w:szCs w:val="30"/>
        </w:rPr>
        <w:t>年</w:t>
      </w:r>
      <w:r>
        <w:rPr>
          <w:rFonts w:hint="eastAsia" w:ascii="宋体" w:hAnsi="宋体" w:eastAsia="宋体" w:cs="宋体"/>
          <w:sz w:val="30"/>
          <w:szCs w:val="30"/>
          <w:lang w:val="en-US" w:eastAsia="zh-CN"/>
        </w:rPr>
        <w:t>区应急管理局</w:t>
      </w:r>
      <w:r>
        <w:rPr>
          <w:rFonts w:hint="eastAsia" w:ascii="宋体" w:hAnsi="宋体" w:eastAsia="宋体" w:cs="宋体"/>
          <w:sz w:val="30"/>
          <w:szCs w:val="30"/>
        </w:rPr>
        <w:t>基本做到管理制度齐全，资金使用较合规。较好完成了20</w:t>
      </w:r>
      <w:r>
        <w:rPr>
          <w:rFonts w:hint="eastAsia" w:ascii="宋体" w:hAnsi="宋体" w:eastAsia="宋体" w:cs="宋体"/>
          <w:sz w:val="30"/>
          <w:szCs w:val="30"/>
          <w:lang w:val="en-US" w:eastAsia="zh-CN"/>
        </w:rPr>
        <w:t>20</w:t>
      </w:r>
      <w:r>
        <w:rPr>
          <w:rFonts w:hint="eastAsia" w:ascii="宋体" w:hAnsi="宋体" w:eastAsia="宋体" w:cs="宋体"/>
          <w:sz w:val="30"/>
          <w:szCs w:val="30"/>
        </w:rPr>
        <w:t>年目标任务。但在预算管理方面存在预算与实际支出不相符、</w:t>
      </w:r>
      <w:r>
        <w:rPr>
          <w:rFonts w:hint="eastAsia" w:ascii="宋体" w:hAnsi="宋体" w:eastAsia="宋体" w:cs="宋体"/>
          <w:sz w:val="30"/>
          <w:szCs w:val="30"/>
          <w:lang w:eastAsia="zh-CN"/>
        </w:rPr>
        <w:t>预算调整比例较大、专项资金下达进度</w:t>
      </w:r>
      <w:r>
        <w:rPr>
          <w:rFonts w:hint="eastAsia" w:ascii="宋体" w:hAnsi="宋体" w:cs="宋体"/>
          <w:sz w:val="30"/>
          <w:szCs w:val="30"/>
          <w:lang w:eastAsia="zh-CN"/>
        </w:rPr>
        <w:t>未达到规定要求</w:t>
      </w:r>
      <w:r>
        <w:rPr>
          <w:rFonts w:hint="eastAsia" w:ascii="宋体" w:hAnsi="宋体" w:eastAsia="宋体" w:cs="宋体"/>
          <w:sz w:val="30"/>
          <w:szCs w:val="30"/>
        </w:rPr>
        <w:t>等</w:t>
      </w:r>
      <w:r>
        <w:rPr>
          <w:rFonts w:hint="eastAsia" w:ascii="宋体" w:hAnsi="宋体" w:cs="宋体"/>
          <w:sz w:val="30"/>
          <w:szCs w:val="30"/>
          <w:lang w:eastAsia="zh-CN"/>
        </w:rPr>
        <w:t>情况</w:t>
      </w:r>
      <w:r>
        <w:rPr>
          <w:rFonts w:hint="eastAsia" w:ascii="宋体" w:hAnsi="宋体" w:eastAsia="宋体" w:cs="宋体"/>
          <w:sz w:val="30"/>
          <w:szCs w:val="30"/>
        </w:rPr>
        <w:t>。</w:t>
      </w:r>
      <w:r>
        <w:rPr>
          <w:rFonts w:hint="eastAsia" w:ascii="宋体" w:hAnsi="宋体" w:eastAsia="宋体" w:cs="宋体"/>
          <w:sz w:val="30"/>
          <w:szCs w:val="30"/>
          <w:lang w:eastAsia="zh-CN"/>
        </w:rPr>
        <w:t>整体评价</w:t>
      </w:r>
      <w:r>
        <w:rPr>
          <w:rFonts w:hint="eastAsia" w:ascii="宋体" w:hAnsi="宋体" w:eastAsia="宋体" w:cs="宋体"/>
          <w:bCs/>
          <w:sz w:val="30"/>
          <w:szCs w:val="30"/>
        </w:rPr>
        <w:t>得分8</w:t>
      </w:r>
      <w:r>
        <w:rPr>
          <w:rFonts w:hint="eastAsia" w:ascii="宋体" w:hAnsi="宋体" w:cs="宋体"/>
          <w:bCs/>
          <w:sz w:val="30"/>
          <w:szCs w:val="30"/>
          <w:lang w:val="en-US" w:eastAsia="zh-CN"/>
        </w:rPr>
        <w:t>8</w:t>
      </w:r>
      <w:r>
        <w:rPr>
          <w:rFonts w:hint="eastAsia" w:ascii="宋体" w:hAnsi="宋体" w:eastAsia="宋体" w:cs="宋体"/>
          <w:bCs/>
          <w:sz w:val="30"/>
          <w:szCs w:val="30"/>
        </w:rPr>
        <w:t>分，绩效等级为良好，其中：</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1、资金投入总分15分，得分</w:t>
      </w:r>
      <w:r>
        <w:rPr>
          <w:rFonts w:hint="eastAsia" w:ascii="宋体" w:hAnsi="宋体" w:eastAsia="宋体" w:cs="宋体"/>
          <w:sz w:val="30"/>
          <w:szCs w:val="30"/>
          <w:lang w:val="en-US" w:eastAsia="zh-CN"/>
        </w:rPr>
        <w:t>13</w:t>
      </w:r>
      <w:r>
        <w:rPr>
          <w:rFonts w:hint="eastAsia" w:ascii="宋体" w:hAnsi="宋体" w:eastAsia="宋体" w:cs="宋体"/>
          <w:sz w:val="30"/>
          <w:szCs w:val="30"/>
        </w:rPr>
        <w:t>分</w:t>
      </w:r>
      <w:r>
        <w:rPr>
          <w:rFonts w:hint="eastAsia" w:ascii="宋体" w:hAnsi="宋体" w:eastAsia="宋体" w:cs="宋体"/>
          <w:sz w:val="30"/>
          <w:szCs w:val="30"/>
          <w:lang w:eastAsia="zh-CN"/>
        </w:rPr>
        <w:t>，</w:t>
      </w:r>
      <w:r>
        <w:rPr>
          <w:rFonts w:hint="eastAsia" w:ascii="宋体" w:hAnsi="宋体" w:eastAsia="宋体" w:cs="宋体"/>
          <w:sz w:val="30"/>
          <w:szCs w:val="30"/>
        </w:rPr>
        <w:t>扣</w:t>
      </w:r>
      <w:r>
        <w:rPr>
          <w:rFonts w:hint="eastAsia" w:ascii="宋体" w:hAnsi="宋体" w:eastAsia="宋体" w:cs="宋体"/>
          <w:sz w:val="30"/>
          <w:szCs w:val="30"/>
          <w:lang w:val="en-US" w:eastAsia="zh-CN"/>
        </w:rPr>
        <w:t>2</w:t>
      </w:r>
      <w:r>
        <w:rPr>
          <w:rFonts w:hint="eastAsia" w:ascii="宋体" w:hAnsi="宋体" w:eastAsia="宋体" w:cs="宋体"/>
          <w:sz w:val="30"/>
          <w:szCs w:val="30"/>
        </w:rPr>
        <w:t>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2、过程管理总分40分，得分</w:t>
      </w:r>
      <w:r>
        <w:rPr>
          <w:rFonts w:hint="eastAsia" w:ascii="宋体" w:hAnsi="宋体" w:cs="宋体"/>
          <w:sz w:val="30"/>
          <w:szCs w:val="30"/>
          <w:lang w:val="en-US" w:eastAsia="zh-CN"/>
        </w:rPr>
        <w:t>30</w:t>
      </w:r>
      <w:r>
        <w:rPr>
          <w:rFonts w:hint="eastAsia" w:ascii="宋体" w:hAnsi="宋体" w:eastAsia="宋体" w:cs="宋体"/>
          <w:sz w:val="30"/>
          <w:szCs w:val="30"/>
        </w:rPr>
        <w:t>分</w:t>
      </w:r>
      <w:r>
        <w:rPr>
          <w:rFonts w:hint="eastAsia" w:ascii="宋体" w:hAnsi="宋体" w:eastAsia="宋体" w:cs="宋体"/>
          <w:sz w:val="30"/>
          <w:szCs w:val="30"/>
          <w:lang w:eastAsia="zh-CN"/>
        </w:rPr>
        <w:t>，</w:t>
      </w:r>
      <w:r>
        <w:rPr>
          <w:rFonts w:hint="eastAsia" w:ascii="宋体" w:hAnsi="宋体" w:eastAsia="宋体" w:cs="宋体"/>
          <w:sz w:val="30"/>
          <w:szCs w:val="30"/>
        </w:rPr>
        <w:t>扣</w:t>
      </w:r>
      <w:r>
        <w:rPr>
          <w:rFonts w:hint="eastAsia" w:ascii="宋体" w:hAnsi="宋体" w:eastAsia="宋体" w:cs="宋体"/>
          <w:sz w:val="30"/>
          <w:szCs w:val="30"/>
          <w:lang w:val="en-US" w:eastAsia="zh-CN"/>
        </w:rPr>
        <w:t>1</w:t>
      </w:r>
      <w:r>
        <w:rPr>
          <w:rFonts w:hint="eastAsia" w:ascii="宋体" w:hAnsi="宋体" w:cs="宋体"/>
          <w:sz w:val="30"/>
          <w:szCs w:val="30"/>
          <w:lang w:val="en-US" w:eastAsia="zh-CN"/>
        </w:rPr>
        <w:t>0</w:t>
      </w:r>
      <w:r>
        <w:rPr>
          <w:rFonts w:hint="eastAsia" w:ascii="宋体" w:hAnsi="宋体" w:eastAsia="宋体" w:cs="宋体"/>
          <w:sz w:val="30"/>
          <w:szCs w:val="30"/>
        </w:rPr>
        <w:t>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3、产出管理总分25分，得分2</w:t>
      </w:r>
      <w:r>
        <w:rPr>
          <w:rFonts w:hint="eastAsia" w:ascii="宋体" w:hAnsi="宋体" w:eastAsia="宋体" w:cs="宋体"/>
          <w:sz w:val="30"/>
          <w:szCs w:val="30"/>
          <w:lang w:val="en-US" w:eastAsia="zh-CN"/>
        </w:rPr>
        <w:t>5</w:t>
      </w:r>
      <w:r>
        <w:rPr>
          <w:rFonts w:hint="eastAsia" w:ascii="宋体" w:hAnsi="宋体" w:eastAsia="宋体" w:cs="宋体"/>
          <w:sz w:val="30"/>
          <w:szCs w:val="30"/>
        </w:rPr>
        <w:t>分</w:t>
      </w:r>
      <w:r>
        <w:rPr>
          <w:rFonts w:hint="eastAsia" w:ascii="宋体" w:hAnsi="宋体" w:eastAsia="宋体" w:cs="宋体"/>
          <w:sz w:val="30"/>
          <w:szCs w:val="30"/>
          <w:lang w:eastAsia="zh-CN"/>
        </w:rPr>
        <w:t>，</w:t>
      </w:r>
      <w:r>
        <w:rPr>
          <w:rFonts w:hint="eastAsia" w:ascii="宋体" w:hAnsi="宋体" w:eastAsia="宋体" w:cs="宋体"/>
          <w:sz w:val="30"/>
          <w:szCs w:val="30"/>
        </w:rPr>
        <w:t>扣</w:t>
      </w:r>
      <w:r>
        <w:rPr>
          <w:rFonts w:hint="eastAsia" w:ascii="宋体" w:hAnsi="宋体" w:eastAsia="宋体" w:cs="宋体"/>
          <w:sz w:val="30"/>
          <w:szCs w:val="30"/>
          <w:lang w:val="en-US" w:eastAsia="zh-CN"/>
        </w:rPr>
        <w:t>0</w:t>
      </w:r>
      <w:r>
        <w:rPr>
          <w:rFonts w:hint="eastAsia" w:ascii="宋体" w:hAnsi="宋体" w:eastAsia="宋体" w:cs="宋体"/>
          <w:sz w:val="30"/>
          <w:szCs w:val="30"/>
        </w:rPr>
        <w:t>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4、绩效管理总分20分，得分</w:t>
      </w:r>
      <w:r>
        <w:rPr>
          <w:rFonts w:hint="eastAsia" w:ascii="宋体" w:hAnsi="宋体" w:eastAsia="宋体" w:cs="宋体"/>
          <w:sz w:val="30"/>
          <w:szCs w:val="30"/>
          <w:lang w:val="en-US" w:eastAsia="zh-CN"/>
        </w:rPr>
        <w:t>20</w:t>
      </w:r>
      <w:r>
        <w:rPr>
          <w:rFonts w:hint="eastAsia" w:ascii="宋体" w:hAnsi="宋体" w:eastAsia="宋体" w:cs="宋体"/>
          <w:sz w:val="30"/>
          <w:szCs w:val="30"/>
        </w:rPr>
        <w:t>分</w:t>
      </w:r>
      <w:r>
        <w:rPr>
          <w:rFonts w:hint="eastAsia" w:ascii="宋体" w:hAnsi="宋体" w:eastAsia="宋体" w:cs="宋体"/>
          <w:sz w:val="30"/>
          <w:szCs w:val="30"/>
          <w:lang w:eastAsia="zh-CN"/>
        </w:rPr>
        <w:t>，</w:t>
      </w:r>
      <w:r>
        <w:rPr>
          <w:rFonts w:hint="eastAsia" w:ascii="宋体" w:hAnsi="宋体" w:eastAsia="宋体" w:cs="宋体"/>
          <w:sz w:val="30"/>
          <w:szCs w:val="30"/>
        </w:rPr>
        <w:t>扣</w:t>
      </w:r>
      <w:r>
        <w:rPr>
          <w:rFonts w:hint="eastAsia" w:ascii="宋体" w:hAnsi="宋体" w:eastAsia="宋体" w:cs="宋体"/>
          <w:sz w:val="30"/>
          <w:szCs w:val="30"/>
          <w:lang w:val="en-US" w:eastAsia="zh-CN"/>
        </w:rPr>
        <w:t>0</w:t>
      </w:r>
      <w:r>
        <w:rPr>
          <w:rFonts w:hint="eastAsia" w:ascii="宋体" w:hAnsi="宋体" w:eastAsia="宋体" w:cs="宋体"/>
          <w:sz w:val="30"/>
          <w:szCs w:val="30"/>
        </w:rPr>
        <w:t>分</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hint="eastAsia" w:ascii="宋体" w:hAnsi="宋体" w:eastAsia="宋体" w:cs="宋体"/>
          <w:sz w:val="30"/>
          <w:szCs w:val="30"/>
        </w:rPr>
      </w:pPr>
      <w:r>
        <w:rPr>
          <w:rFonts w:hint="eastAsia" w:ascii="宋体" w:hAnsi="宋体" w:eastAsia="宋体" w:cs="宋体"/>
          <w:sz w:val="30"/>
          <w:szCs w:val="30"/>
        </w:rPr>
        <w:t>具体见《区</w:t>
      </w:r>
      <w:r>
        <w:rPr>
          <w:rFonts w:hint="eastAsia" w:ascii="宋体" w:hAnsi="宋体" w:eastAsia="宋体" w:cs="宋体"/>
          <w:sz w:val="30"/>
          <w:szCs w:val="30"/>
          <w:lang w:val="en-US" w:eastAsia="zh-CN"/>
        </w:rPr>
        <w:t>应急管理</w:t>
      </w:r>
      <w:r>
        <w:rPr>
          <w:rFonts w:hint="eastAsia" w:ascii="宋体" w:hAnsi="宋体" w:eastAsia="宋体" w:cs="宋体"/>
          <w:sz w:val="30"/>
          <w:szCs w:val="30"/>
          <w:lang w:eastAsia="zh-CN"/>
        </w:rPr>
        <w:t>局</w:t>
      </w:r>
      <w:r>
        <w:rPr>
          <w:rFonts w:hint="eastAsia" w:ascii="宋体" w:hAnsi="宋体" w:eastAsia="宋体" w:cs="宋体"/>
          <w:sz w:val="30"/>
          <w:szCs w:val="30"/>
        </w:rPr>
        <w:t>整体支出绩效评价评分表》（附件2）</w:t>
      </w:r>
    </w:p>
    <w:p>
      <w:pPr>
        <w:numPr>
          <w:ilvl w:val="0"/>
          <w:numId w:val="6"/>
        </w:numPr>
        <w:tabs>
          <w:tab w:val="center" w:pos="4153"/>
        </w:tabs>
        <w:spacing w:line="300" w:lineRule="auto"/>
        <w:ind w:left="420" w:leftChars="200"/>
        <w:rPr>
          <w:rFonts w:hint="eastAsia" w:ascii="宋体" w:hAnsi="宋体" w:eastAsia="宋体" w:cs="宋体"/>
          <w:b/>
          <w:bCs/>
          <w:sz w:val="30"/>
          <w:szCs w:val="30"/>
        </w:rPr>
      </w:pPr>
      <w:r>
        <w:rPr>
          <w:rFonts w:hint="eastAsia" w:ascii="宋体" w:hAnsi="宋体" w:eastAsia="宋体" w:cs="宋体"/>
          <w:b/>
          <w:bCs/>
          <w:sz w:val="30"/>
          <w:szCs w:val="30"/>
        </w:rPr>
        <w:t>项目主要绩效分析</w:t>
      </w:r>
    </w:p>
    <w:p>
      <w:pPr>
        <w:numPr>
          <w:ilvl w:val="0"/>
          <w:numId w:val="7"/>
        </w:numPr>
        <w:spacing w:line="58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lang w:val="en-US" w:eastAsia="zh-CN"/>
        </w:rPr>
        <w:t>多方联动，消除安全隐患</w:t>
      </w:r>
    </w:p>
    <w:p>
      <w:pPr>
        <w:numPr>
          <w:ilvl w:val="0"/>
          <w:numId w:val="0"/>
        </w:numPr>
        <w:spacing w:line="58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危险化学品方面：</w:t>
      </w:r>
      <w:r>
        <w:rPr>
          <w:rFonts w:hint="eastAsia" w:ascii="宋体" w:hAnsi="宋体" w:eastAsia="宋体" w:cs="宋体"/>
          <w:sz w:val="30"/>
          <w:szCs w:val="30"/>
          <w:lang w:val="en-US" w:eastAsia="zh-CN"/>
        </w:rPr>
        <w:t>2020年</w:t>
      </w:r>
      <w:r>
        <w:rPr>
          <w:rFonts w:hint="eastAsia" w:ascii="宋体" w:hAnsi="宋体" w:eastAsia="宋体" w:cs="宋体"/>
          <w:sz w:val="30"/>
          <w:szCs w:val="30"/>
        </w:rPr>
        <w:t>，区应急局、消防大队、园区联合开展了3轮次危险化学品重大危险源企业专项检查抽查，共检查辖区内企业16家，重点危险源125处，发现各类问题隐患300余项，下达责令限期整改指令书10份。公安部门联合区应急局开展输油管道、易制毒易制爆专项检查，检查各类管道9条，易制毒易制爆企业11家。6月30 日，市国资委联合区政府开展加油站灭火救援演练,区应急管理局、区消防救援大队、区卫生健康局等单位协办，圆满完成了消防综合应急演练。</w:t>
      </w:r>
    </w:p>
    <w:p>
      <w:pPr>
        <w:numPr>
          <w:ilvl w:val="0"/>
          <w:numId w:val="0"/>
        </w:numPr>
        <w:spacing w:line="58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烟花爆竹方面：在春节、清明、中元节等特殊时段，区应急局联合职能部门对全区丧葬祭祀用品销售门店开展全方位、无死角、多维度、立体式的联合执法行动，共查处私藏烟花爆竹门店3家，收缴烟花鞭炮500余件（挂）。</w:t>
      </w:r>
    </w:p>
    <w:p>
      <w:pPr>
        <w:numPr>
          <w:ilvl w:val="0"/>
          <w:numId w:val="0"/>
        </w:numPr>
        <w:spacing w:line="58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马路市场整治方面：区安委办牵头，交通、交警、城管等部门单位开展了车辆乱停乱靠、马路市场专项整治、摩托车和电动车乱停乱放专项整治，共拖离车辆700余辆。</w:t>
      </w:r>
      <w:r>
        <w:rPr>
          <w:rFonts w:hint="eastAsia" w:ascii="宋体" w:hAnsi="宋体" w:eastAsia="宋体" w:cs="宋体"/>
          <w:sz w:val="30"/>
          <w:szCs w:val="30"/>
          <w:lang w:val="en-US" w:eastAsia="zh-CN"/>
        </w:rPr>
        <w:t>2020</w:t>
      </w:r>
      <w:r>
        <w:rPr>
          <w:rFonts w:hint="eastAsia" w:ascii="宋体" w:hAnsi="宋体" w:eastAsia="宋体" w:cs="宋体"/>
          <w:sz w:val="30"/>
          <w:szCs w:val="30"/>
        </w:rPr>
        <w:t>年排查出的3处马路市场均已取缔，消除了安全隐患。</w:t>
      </w:r>
    </w:p>
    <w:p>
      <w:pPr>
        <w:numPr>
          <w:ilvl w:val="0"/>
          <w:numId w:val="0"/>
        </w:numPr>
        <w:spacing w:line="58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交通顽瘴痼疾整治方面：9月29</w:t>
      </w:r>
      <w:r>
        <w:rPr>
          <w:rFonts w:hint="eastAsia" w:ascii="宋体" w:hAnsi="宋体" w:eastAsia="宋体" w:cs="宋体"/>
          <w:sz w:val="30"/>
          <w:szCs w:val="30"/>
          <w:lang w:val="en-US" w:eastAsia="zh-CN"/>
        </w:rPr>
        <w:t>日</w:t>
      </w:r>
      <w:r>
        <w:rPr>
          <w:rFonts w:hint="eastAsia" w:ascii="宋体" w:hAnsi="宋体" w:eastAsia="宋体" w:cs="宋体"/>
          <w:sz w:val="30"/>
          <w:szCs w:val="30"/>
        </w:rPr>
        <w:t>，区政府组织应急、城管、交通等9个部门联合执法，集中开展长岭地区交通问题顽瘴痼疾集中整治行动，为“双节”期间社区内路面交通秩序保驾护航。</w:t>
      </w:r>
    </w:p>
    <w:p>
      <w:pPr>
        <w:numPr>
          <w:ilvl w:val="0"/>
          <w:numId w:val="0"/>
        </w:numPr>
        <w:spacing w:line="58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防汛抗旱及森林防火方面：区防指严格执行“一天一会商、早晚两调度”的工作机制，发布水情雨情预警信息200余条，下发防汛抗旱有关文件通知19份，发出指令30道，启动、防汛应急响应调整和解除响应11次，有效应对了多轮强降雨过程。排查并及时处置各类火灾隐患50余处，全区未发生一起山林火灾事故。</w:t>
      </w:r>
    </w:p>
    <w:p>
      <w:pPr>
        <w:numPr>
          <w:ilvl w:val="0"/>
          <w:numId w:val="0"/>
        </w:numPr>
        <w:spacing w:line="58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地质灾害方面：共排查7个地质灾害隐患点，目前已消除1个，</w:t>
      </w:r>
      <w:r>
        <w:rPr>
          <w:rFonts w:hint="eastAsia" w:ascii="宋体" w:hAnsi="宋体" w:eastAsia="宋体" w:cs="宋体"/>
          <w:sz w:val="30"/>
          <w:szCs w:val="30"/>
          <w:lang w:val="en-US" w:eastAsia="zh-CN"/>
        </w:rPr>
        <w:t>2020</w:t>
      </w:r>
      <w:r>
        <w:rPr>
          <w:rFonts w:hint="eastAsia" w:ascii="宋体" w:hAnsi="宋体" w:eastAsia="宋体" w:cs="宋体"/>
          <w:sz w:val="30"/>
          <w:szCs w:val="30"/>
        </w:rPr>
        <w:t>年无地质灾害发生。</w:t>
      </w:r>
    </w:p>
    <w:p>
      <w:pPr>
        <w:numPr>
          <w:ilvl w:val="0"/>
          <w:numId w:val="7"/>
        </w:numPr>
        <w:spacing w:line="58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lang w:val="en-US" w:eastAsia="zh-CN"/>
        </w:rPr>
        <w:t>重点教育，提升应急能力</w:t>
      </w:r>
    </w:p>
    <w:p>
      <w:pPr>
        <w:numPr>
          <w:ilvl w:val="0"/>
          <w:numId w:val="0"/>
        </w:numPr>
        <w:spacing w:line="58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一是抓住关键少数。6月24日，邀请省厅法规处长李兵荣就习近平总书记关于安全生产重要论述、责任追究、专项整治三年行动等方面作专题辅导报告，区委中心组全体成员及30家重点企业主要负责人参加学习，进一步强化党政领导干部和企业主要负责人的责任意识。</w:t>
      </w:r>
    </w:p>
    <w:p>
      <w:pPr>
        <w:numPr>
          <w:ilvl w:val="0"/>
          <w:numId w:val="0"/>
        </w:numPr>
        <w:spacing w:line="58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二是加强能力考核。在全区企业推行主要负责人“讲安全课”和安全生产知识测试活动，共70余家重点企业开展了主要负责人“讲安全课”，组织企业主要负责人和安全管理人员参加知识测试60人次，督促主体责任落实。对考核不合格和缺席的的主要负责人进行约谈通报，并责令提交书面安全生产述职报告，</w:t>
      </w:r>
      <w:r>
        <w:rPr>
          <w:rFonts w:hint="eastAsia" w:ascii="宋体" w:hAnsi="宋体" w:eastAsia="宋体" w:cs="宋体"/>
          <w:sz w:val="30"/>
          <w:szCs w:val="30"/>
          <w:lang w:val="en-US" w:eastAsia="zh-CN"/>
        </w:rPr>
        <w:t>2020</w:t>
      </w:r>
      <w:r>
        <w:rPr>
          <w:rFonts w:hint="eastAsia" w:ascii="宋体" w:hAnsi="宋体" w:eastAsia="宋体" w:cs="宋体"/>
          <w:sz w:val="30"/>
          <w:szCs w:val="30"/>
        </w:rPr>
        <w:t>年共发布考核情况通报7期。</w:t>
      </w:r>
    </w:p>
    <w:p>
      <w:pPr>
        <w:numPr>
          <w:ilvl w:val="0"/>
          <w:numId w:val="0"/>
        </w:numPr>
        <w:spacing w:line="58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三是突出活动引领。依托“5.12”防灾减灾日、“6.16”安全咨询日、“安全生产月”系列活动，按照“五进”要求，采取线上线下互动、上门宣传等形式，区安委办牵头组织相关职能部门开展了安全科普教育、安全警示等知识宣教活动，共发放宣传资料5万余份。组织开展了山体滑坡地质灾害联合应急演练、船舶火灾及水上溢油事故综合演练、中顺企业应急演练等。11月11日，区林业局、区应急局组织各镇（街道）相关负责人、相关站所、重点村组干部和信息员等130余人开展了秋冬季森林防灭火工作暨培训会。有关部门和企业自行开展应急救援演练130余次，全面提升了应急救援能力。</w:t>
      </w:r>
    </w:p>
    <w:p>
      <w:pPr>
        <w:numPr>
          <w:ilvl w:val="0"/>
          <w:numId w:val="7"/>
        </w:numPr>
        <w:spacing w:line="580" w:lineRule="exact"/>
        <w:ind w:left="0" w:leftChars="0" w:firstLine="602" w:firstLineChars="200"/>
        <w:rPr>
          <w:rFonts w:hint="eastAsia" w:ascii="宋体" w:hAnsi="宋体" w:eastAsia="宋体" w:cs="宋体"/>
          <w:b/>
          <w:bCs/>
          <w:sz w:val="30"/>
          <w:szCs w:val="30"/>
        </w:rPr>
      </w:pPr>
      <w:r>
        <w:rPr>
          <w:rFonts w:hint="eastAsia" w:ascii="宋体" w:hAnsi="宋体" w:eastAsia="宋体" w:cs="宋体"/>
          <w:b/>
          <w:bCs/>
          <w:sz w:val="30"/>
          <w:szCs w:val="30"/>
        </w:rPr>
        <w:t>专项整治，</w:t>
      </w:r>
      <w:r>
        <w:rPr>
          <w:rFonts w:hint="eastAsia" w:ascii="宋体" w:hAnsi="宋体" w:eastAsia="宋体" w:cs="宋体"/>
          <w:b/>
          <w:bCs/>
          <w:sz w:val="30"/>
          <w:szCs w:val="30"/>
          <w:lang w:val="en-US" w:eastAsia="zh-CN"/>
        </w:rPr>
        <w:t>落实安全整改</w:t>
      </w:r>
    </w:p>
    <w:p>
      <w:pPr>
        <w:numPr>
          <w:ilvl w:val="0"/>
          <w:numId w:val="0"/>
        </w:numPr>
        <w:spacing w:line="58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一是狠抓危化品专项整治。区</w:t>
      </w:r>
      <w:r>
        <w:rPr>
          <w:rFonts w:hint="eastAsia" w:ascii="宋体" w:hAnsi="宋体" w:eastAsia="宋体" w:cs="宋体"/>
          <w:sz w:val="30"/>
          <w:szCs w:val="30"/>
          <w:lang w:val="en-US" w:eastAsia="zh-CN"/>
        </w:rPr>
        <w:t>应急管理局</w:t>
      </w:r>
      <w:r>
        <w:rPr>
          <w:rFonts w:hint="eastAsia" w:ascii="宋体" w:hAnsi="宋体" w:eastAsia="宋体" w:cs="宋体"/>
          <w:sz w:val="30"/>
          <w:szCs w:val="30"/>
        </w:rPr>
        <w:t>先后对重点危化企业开展了2轮国务院安委办重点县专家指导服务，共指导服务企业6家，排查隐患330余项，停产停业整顿企业2家；对辖区内重点企业开展外包业务及化学品仓储专项执法检查抽查，共检查企业68家次，排查各类安全隐患412项，立案查处5家次，目前检查发现的隐患已基本整改完成；组织专家开展涉硝酸铵等五类企业两轮次专项摸排检查，共检查企业10家次，责令停产停业整顿2家，责令限期整改10家次。</w:t>
      </w:r>
    </w:p>
    <w:p>
      <w:pPr>
        <w:numPr>
          <w:ilvl w:val="0"/>
          <w:numId w:val="0"/>
        </w:numPr>
        <w:spacing w:line="58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二是加大问题隐患顽瘴痼疾集中整治。目前，危险化学品及工贸行业安全生产领域的顽瘴痼疾已经完成整改13家，整治问题和隐患25个，整改完成率为59.09%和46.30%，其余未整改的顽瘴痼疾力争在12月底前完成。</w:t>
      </w:r>
    </w:p>
    <w:p>
      <w:pPr>
        <w:numPr>
          <w:ilvl w:val="0"/>
          <w:numId w:val="0"/>
        </w:numPr>
        <w:spacing w:line="58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三是开展动火作业、受限空间、涉粉尘爆炸等专项行政执法检查。检查辖区内重点企业81家，出动执法人员和聘请专家120余人次，出动执法车辆90余辆次，共排查安全生产事故隐患297条，下达执法文书102份。</w:t>
      </w:r>
    </w:p>
    <w:p>
      <w:pPr>
        <w:numPr>
          <w:ilvl w:val="0"/>
          <w:numId w:val="7"/>
        </w:numPr>
        <w:spacing w:line="580" w:lineRule="exact"/>
        <w:ind w:left="0" w:leftChars="0" w:firstLine="602" w:firstLineChars="200"/>
        <w:rPr>
          <w:rFonts w:hint="eastAsia" w:ascii="宋体" w:hAnsi="宋体" w:eastAsia="宋体" w:cs="宋体"/>
          <w:b/>
          <w:bCs/>
          <w:sz w:val="30"/>
          <w:szCs w:val="30"/>
        </w:rPr>
      </w:pPr>
      <w:r>
        <w:rPr>
          <w:rFonts w:hint="eastAsia" w:ascii="宋体" w:hAnsi="宋体" w:eastAsia="宋体" w:cs="宋体"/>
          <w:b/>
          <w:bCs/>
          <w:sz w:val="30"/>
          <w:szCs w:val="30"/>
        </w:rPr>
        <w:t>依法治安，</w:t>
      </w:r>
      <w:r>
        <w:rPr>
          <w:rFonts w:hint="eastAsia" w:ascii="宋体" w:hAnsi="宋体" w:eastAsia="宋体" w:cs="宋体"/>
          <w:b/>
          <w:bCs/>
          <w:sz w:val="30"/>
          <w:szCs w:val="30"/>
          <w:lang w:val="en-US" w:eastAsia="zh-CN"/>
        </w:rPr>
        <w:t>实施</w:t>
      </w:r>
      <w:r>
        <w:rPr>
          <w:rFonts w:hint="eastAsia" w:ascii="宋体" w:hAnsi="宋体" w:eastAsia="宋体" w:cs="宋体"/>
          <w:b/>
          <w:bCs/>
          <w:sz w:val="30"/>
          <w:szCs w:val="30"/>
        </w:rPr>
        <w:t>监管执法</w:t>
      </w:r>
    </w:p>
    <w:p>
      <w:pPr>
        <w:numPr>
          <w:ilvl w:val="0"/>
          <w:numId w:val="0"/>
        </w:numPr>
        <w:spacing w:line="58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着力于“强执法防事故”行动。持续开展“强监管、严执法”专项行动，截至目前共对各类安全生产违法违规行为立案30起，处罚金额99.29万元，移交公安刑事拘留1人，停产停业整顿企业2家，处理僵尸企业9家，转型升级企业6家，提请政府关闭企业2家。兑现1起安全生产举报奖励，营造“全民参与、共护平安”的浓厚氛围。</w:t>
      </w:r>
    </w:p>
    <w:p>
      <w:pPr>
        <w:numPr>
          <w:ilvl w:val="0"/>
          <w:numId w:val="0"/>
        </w:numPr>
        <w:spacing w:line="58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着力于计划执法检查。根据分类分级执法工作要求，对</w:t>
      </w:r>
      <w:r>
        <w:rPr>
          <w:rFonts w:hint="eastAsia" w:ascii="宋体" w:hAnsi="宋体" w:eastAsia="宋体" w:cs="宋体"/>
          <w:sz w:val="30"/>
          <w:szCs w:val="30"/>
          <w:lang w:val="en-US" w:eastAsia="zh-CN"/>
        </w:rPr>
        <w:t>云溪</w:t>
      </w:r>
      <w:r>
        <w:rPr>
          <w:rFonts w:hint="eastAsia" w:ascii="宋体" w:hAnsi="宋体" w:eastAsia="宋体" w:cs="宋体"/>
          <w:sz w:val="30"/>
          <w:szCs w:val="30"/>
        </w:rPr>
        <w:t>区129家重点企业开展了计划执法，发现隐患537条，整改隐患514条，下达执法文书348份，立案11起。</w:t>
      </w:r>
    </w:p>
    <w:p>
      <w:pPr>
        <w:numPr>
          <w:ilvl w:val="0"/>
          <w:numId w:val="0"/>
        </w:numPr>
        <w:spacing w:line="58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着力于全面落实“三项制度”。根据《国务院办公厅关于全面推行行政执法公示制度、执法全过程记录制度、重大执法决定法制审核制度的指导意见》，坚持以“公开为常态，不公开为例外”的原则，统筹推进行政执法信息公开。</w:t>
      </w:r>
      <w:r>
        <w:rPr>
          <w:rFonts w:hint="eastAsia" w:ascii="宋体" w:hAnsi="宋体" w:eastAsia="宋体" w:cs="宋体"/>
          <w:sz w:val="30"/>
          <w:szCs w:val="30"/>
          <w:lang w:val="en-US" w:eastAsia="zh-CN"/>
        </w:rPr>
        <w:t>2020</w:t>
      </w:r>
      <w:r>
        <w:rPr>
          <w:rFonts w:hint="eastAsia" w:ascii="宋体" w:hAnsi="宋体" w:eastAsia="宋体" w:cs="宋体"/>
          <w:sz w:val="30"/>
          <w:szCs w:val="30"/>
        </w:rPr>
        <w:t>年共公示行政许可27件，行政处罚案件30件。</w:t>
      </w:r>
    </w:p>
    <w:p>
      <w:pPr>
        <w:numPr>
          <w:ilvl w:val="0"/>
          <w:numId w:val="0"/>
        </w:numPr>
        <w:spacing w:line="58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着力于事前、事中、事后监管执法。注重安全生产监管执法的事前、事中、事后管理，定期对各类行政执法案件进行回头看，防止违法行为死灰复燃，真正做到处罚一家、教育一片、跟踪问效、防范风险。</w:t>
      </w:r>
    </w:p>
    <w:p>
      <w:pPr>
        <w:numPr>
          <w:ilvl w:val="0"/>
          <w:numId w:val="7"/>
        </w:numPr>
        <w:spacing w:line="580" w:lineRule="exact"/>
        <w:ind w:left="0" w:leftChars="0" w:firstLine="602" w:firstLineChars="200"/>
        <w:rPr>
          <w:rFonts w:hint="eastAsia" w:ascii="宋体" w:hAnsi="宋体" w:eastAsia="宋体" w:cs="宋体"/>
          <w:b/>
          <w:bCs/>
          <w:sz w:val="30"/>
          <w:szCs w:val="30"/>
        </w:rPr>
      </w:pPr>
      <w:r>
        <w:rPr>
          <w:rFonts w:hint="eastAsia" w:ascii="宋体" w:hAnsi="宋体" w:eastAsia="宋体" w:cs="宋体"/>
          <w:b/>
          <w:bCs/>
          <w:sz w:val="30"/>
          <w:szCs w:val="30"/>
        </w:rPr>
        <w:t>重心下沉，</w:t>
      </w:r>
      <w:r>
        <w:rPr>
          <w:rFonts w:hint="eastAsia" w:ascii="宋体" w:hAnsi="宋体" w:eastAsia="宋体" w:cs="宋体"/>
          <w:b/>
          <w:bCs/>
          <w:sz w:val="30"/>
          <w:szCs w:val="30"/>
          <w:lang w:val="en-US" w:eastAsia="zh-CN"/>
        </w:rPr>
        <w:t>夯实</w:t>
      </w:r>
      <w:r>
        <w:rPr>
          <w:rFonts w:hint="eastAsia" w:ascii="宋体" w:hAnsi="宋体" w:eastAsia="宋体" w:cs="宋体"/>
          <w:b/>
          <w:bCs/>
          <w:sz w:val="30"/>
          <w:szCs w:val="30"/>
        </w:rPr>
        <w:t>基层基础</w:t>
      </w:r>
    </w:p>
    <w:p>
      <w:pPr>
        <w:numPr>
          <w:ilvl w:val="0"/>
          <w:numId w:val="0"/>
        </w:numPr>
        <w:spacing w:line="58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一是提升应急救援能力。区</w:t>
      </w:r>
      <w:r>
        <w:rPr>
          <w:rFonts w:hint="eastAsia" w:ascii="宋体" w:hAnsi="宋体" w:eastAsia="宋体" w:cs="宋体"/>
          <w:sz w:val="30"/>
          <w:szCs w:val="30"/>
          <w:lang w:val="en-US" w:eastAsia="zh-CN"/>
        </w:rPr>
        <w:t>应急管理局</w:t>
      </w:r>
      <w:r>
        <w:rPr>
          <w:rFonts w:hint="eastAsia" w:ascii="宋体" w:hAnsi="宋体" w:eastAsia="宋体" w:cs="宋体"/>
          <w:sz w:val="30"/>
          <w:szCs w:val="30"/>
        </w:rPr>
        <w:t>对辖区应急救援力量进行了摸底，当前，</w:t>
      </w:r>
      <w:r>
        <w:rPr>
          <w:rFonts w:hint="eastAsia" w:ascii="宋体" w:hAnsi="宋体" w:eastAsia="宋体" w:cs="宋体"/>
          <w:sz w:val="30"/>
          <w:szCs w:val="30"/>
          <w:lang w:val="en-US" w:eastAsia="zh-CN"/>
        </w:rPr>
        <w:t>云溪</w:t>
      </w:r>
      <w:r>
        <w:rPr>
          <w:rFonts w:hint="eastAsia" w:ascii="宋体" w:hAnsi="宋体" w:eastAsia="宋体" w:cs="宋体"/>
          <w:sz w:val="30"/>
          <w:szCs w:val="30"/>
        </w:rPr>
        <w:t>区各类应急救援力量共计718人。与云溪区缤纷天地步步高连锁超市签订应急物资采购协议，与蓝天、云豹救援队签订应急救援合作协议，做到随时调度应急。同时，对25家重点企业开展了应急救援专项行政执法检查。成功处置了4月25日危险化学品（甲苯）车辆侧翻涉险事件和5月28日液氧罐车碰撞事故，均未出现人员伤亡，未造成环境污染事件，未发生次生灾害事故。</w:t>
      </w:r>
    </w:p>
    <w:p>
      <w:pPr>
        <w:numPr>
          <w:ilvl w:val="0"/>
          <w:numId w:val="0"/>
        </w:numPr>
        <w:spacing w:line="58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二是加强执法能力建设。</w:t>
      </w:r>
      <w:r>
        <w:rPr>
          <w:rFonts w:hint="eastAsia" w:ascii="宋体" w:hAnsi="宋体" w:eastAsia="宋体" w:cs="宋体"/>
          <w:sz w:val="30"/>
          <w:szCs w:val="30"/>
          <w:lang w:val="en-US" w:eastAsia="zh-CN"/>
        </w:rPr>
        <w:t>2020</w:t>
      </w:r>
      <w:r>
        <w:rPr>
          <w:rFonts w:hint="eastAsia" w:ascii="宋体" w:hAnsi="宋体" w:eastAsia="宋体" w:cs="宋体"/>
          <w:sz w:val="30"/>
          <w:szCs w:val="30"/>
        </w:rPr>
        <w:t>年委派执法人员到国家、省里参加各种安全生产培训8次。</w:t>
      </w:r>
      <w:r>
        <w:rPr>
          <w:rFonts w:hint="eastAsia" w:ascii="宋体" w:hAnsi="宋体" w:eastAsia="宋体" w:cs="宋体"/>
          <w:sz w:val="30"/>
          <w:szCs w:val="30"/>
          <w:lang w:val="en-US" w:eastAsia="zh-CN"/>
        </w:rPr>
        <w:t>2020</w:t>
      </w:r>
      <w:r>
        <w:rPr>
          <w:rFonts w:hint="eastAsia" w:ascii="宋体" w:hAnsi="宋体" w:eastAsia="宋体" w:cs="宋体"/>
          <w:sz w:val="30"/>
          <w:szCs w:val="30"/>
        </w:rPr>
        <w:t>年开展两次行政执法质量考评，提升执法人员的执法水平及能力。区应急管理局组织全体执法人员参加为期1个月的线上全国应急普法知识答题，并派1名骨干代表省厅参加全国应急普法知识答题，湖南代表队喜获三等奖的好成绩。</w:t>
      </w:r>
    </w:p>
    <w:p>
      <w:pPr>
        <w:numPr>
          <w:ilvl w:val="0"/>
          <w:numId w:val="0"/>
        </w:numPr>
        <w:spacing w:line="58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三是强化特殊时段风险防控。在中秋、国庆等法定假日以及两会、十九届五中全会等特护期，区</w:t>
      </w:r>
      <w:r>
        <w:rPr>
          <w:rFonts w:hint="eastAsia" w:ascii="宋体" w:hAnsi="宋体" w:eastAsia="宋体" w:cs="宋体"/>
          <w:sz w:val="30"/>
          <w:szCs w:val="30"/>
          <w:lang w:val="en-US" w:eastAsia="zh-CN"/>
        </w:rPr>
        <w:t>应急管理局</w:t>
      </w:r>
      <w:r>
        <w:rPr>
          <w:rFonts w:hint="eastAsia" w:ascii="宋体" w:hAnsi="宋体" w:eastAsia="宋体" w:cs="宋体"/>
          <w:sz w:val="30"/>
          <w:szCs w:val="30"/>
        </w:rPr>
        <w:t>每天安排成员带队检查2家重点企业，共检查企业48家，发现问题隐患71处，已完成整改65处；8月1日至21日区应急局由成员带队分为5个组采取午查、夜查的形式对直管行业开展高温汛期督查巡查，共检查企业41家，发现问题隐患62项，已完成整改59处。</w:t>
      </w:r>
    </w:p>
    <w:p>
      <w:pPr>
        <w:numPr>
          <w:ilvl w:val="0"/>
          <w:numId w:val="0"/>
        </w:numPr>
        <w:spacing w:line="58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四是争取社会关注和监督。6月30日，区</w:t>
      </w:r>
      <w:r>
        <w:rPr>
          <w:rFonts w:hint="eastAsia" w:ascii="宋体" w:hAnsi="宋体" w:eastAsia="宋体" w:cs="宋体"/>
          <w:sz w:val="30"/>
          <w:szCs w:val="30"/>
          <w:lang w:val="en-US" w:eastAsia="zh-CN"/>
        </w:rPr>
        <w:t>应急管理局</w:t>
      </w:r>
      <w:r>
        <w:rPr>
          <w:rFonts w:hint="eastAsia" w:ascii="宋体" w:hAnsi="宋体" w:eastAsia="宋体" w:cs="宋体"/>
          <w:sz w:val="30"/>
          <w:szCs w:val="30"/>
        </w:rPr>
        <w:t>举行聘任行风监督员及专家库专家仪式，其中7名人大代表、政协委员、纪委委员被聘为安全生产行风监督员、37位各行业领域专家被聘为专家库首批专家。积极发挥其“信息员”“宣传员”“监督员”和“研究员”作用，为构建安全稳定的社会环境贡献智慧与力量。</w:t>
      </w:r>
    </w:p>
    <w:p>
      <w:pPr>
        <w:numPr>
          <w:ilvl w:val="0"/>
          <w:numId w:val="0"/>
        </w:numPr>
        <w:spacing w:line="58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五是加强应急保障。区</w:t>
      </w:r>
      <w:r>
        <w:rPr>
          <w:rFonts w:hint="eastAsia" w:ascii="宋体" w:hAnsi="宋体" w:eastAsia="宋体" w:cs="宋体"/>
          <w:sz w:val="30"/>
          <w:szCs w:val="30"/>
          <w:lang w:val="en-US" w:eastAsia="zh-CN"/>
        </w:rPr>
        <w:t>应急管理局</w:t>
      </w:r>
      <w:r>
        <w:rPr>
          <w:rFonts w:hint="eastAsia" w:ascii="宋体" w:hAnsi="宋体" w:eastAsia="宋体" w:cs="宋体"/>
          <w:sz w:val="30"/>
          <w:szCs w:val="30"/>
        </w:rPr>
        <w:t>积极与省、市对接争取应急救援物资和资金，共计发放帐篷37顶，折叠床3张、毛巾毯5床。争取中央、省级自然灾害救灾资金240万元，抗旱临时生活救助资金11万元。</w:t>
      </w:r>
    </w:p>
    <w:p>
      <w:pPr>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六、存在的问题</w:t>
      </w:r>
    </w:p>
    <w:p>
      <w:pPr>
        <w:ind w:firstLine="602" w:firstLineChars="200"/>
        <w:rPr>
          <w:rFonts w:hint="eastAsia" w:ascii="宋体" w:hAnsi="宋体" w:eastAsia="宋体" w:cs="宋体"/>
          <w:b/>
          <w:bCs/>
          <w:sz w:val="30"/>
          <w:szCs w:val="30"/>
          <w:lang w:eastAsia="zh-CN"/>
        </w:rPr>
      </w:pPr>
      <w:r>
        <w:rPr>
          <w:rFonts w:hint="eastAsia" w:ascii="宋体" w:hAnsi="宋体" w:eastAsia="宋体" w:cs="宋体"/>
          <w:b/>
          <w:bCs/>
          <w:sz w:val="30"/>
          <w:szCs w:val="30"/>
        </w:rPr>
        <w:t>（</w:t>
      </w:r>
      <w:r>
        <w:rPr>
          <w:rFonts w:hint="eastAsia" w:ascii="宋体" w:hAnsi="宋体" w:eastAsia="宋体" w:cs="宋体"/>
          <w:b/>
          <w:bCs/>
          <w:sz w:val="30"/>
          <w:szCs w:val="30"/>
          <w:lang w:eastAsia="zh-CN"/>
        </w:rPr>
        <w:t>一</w:t>
      </w:r>
      <w:r>
        <w:rPr>
          <w:rFonts w:hint="eastAsia" w:ascii="宋体" w:hAnsi="宋体" w:eastAsia="宋体" w:cs="宋体"/>
          <w:b/>
          <w:bCs/>
          <w:sz w:val="30"/>
          <w:szCs w:val="30"/>
        </w:rPr>
        <w:t>）</w:t>
      </w:r>
      <w:r>
        <w:rPr>
          <w:rFonts w:hint="eastAsia" w:ascii="宋体" w:hAnsi="宋体" w:eastAsia="宋体" w:cs="宋体"/>
          <w:b/>
          <w:bCs/>
          <w:sz w:val="30"/>
          <w:szCs w:val="30"/>
          <w:lang w:eastAsia="zh-CN"/>
        </w:rPr>
        <w:t>预算</w:t>
      </w:r>
      <w:r>
        <w:rPr>
          <w:rFonts w:hint="eastAsia" w:ascii="宋体" w:hAnsi="宋体" w:cs="宋体"/>
          <w:b/>
          <w:bCs/>
          <w:sz w:val="30"/>
          <w:szCs w:val="30"/>
          <w:lang w:eastAsia="zh-CN"/>
        </w:rPr>
        <w:t>执行</w:t>
      </w:r>
      <w:r>
        <w:rPr>
          <w:rFonts w:hint="eastAsia" w:ascii="宋体" w:hAnsi="宋体" w:eastAsia="宋体" w:cs="宋体"/>
          <w:b/>
          <w:bCs/>
          <w:sz w:val="30"/>
          <w:szCs w:val="30"/>
          <w:lang w:eastAsia="zh-CN"/>
        </w:rPr>
        <w:t>方面</w:t>
      </w:r>
    </w:p>
    <w:p>
      <w:pPr>
        <w:ind w:firstLine="600" w:firstLineChars="200"/>
        <w:rPr>
          <w:rFonts w:hint="eastAsia" w:ascii="宋体" w:hAnsi="宋体" w:cs="宋体"/>
          <w:bCs/>
          <w:sz w:val="30"/>
          <w:szCs w:val="30"/>
          <w:lang w:val="en-US" w:eastAsia="zh-CN"/>
        </w:rPr>
      </w:pPr>
      <w:r>
        <w:rPr>
          <w:rFonts w:hint="eastAsia" w:ascii="宋体" w:hAnsi="宋体" w:eastAsia="宋体" w:cs="宋体"/>
          <w:bCs/>
          <w:sz w:val="30"/>
          <w:szCs w:val="30"/>
        </w:rPr>
        <w:t>1、</w:t>
      </w:r>
      <w:r>
        <w:rPr>
          <w:rFonts w:hint="eastAsia" w:ascii="宋体" w:hAnsi="宋体" w:cs="宋体"/>
          <w:bCs/>
          <w:sz w:val="30"/>
          <w:szCs w:val="30"/>
          <w:lang w:eastAsia="zh-CN"/>
        </w:rPr>
        <w:t>年初预算不够精准和细化，</w:t>
      </w:r>
      <w:r>
        <w:rPr>
          <w:rFonts w:hint="eastAsia" w:ascii="宋体" w:hAnsi="宋体" w:eastAsia="宋体" w:cs="宋体"/>
          <w:bCs/>
          <w:sz w:val="30"/>
          <w:szCs w:val="30"/>
        </w:rPr>
        <w:t>预算调整</w:t>
      </w:r>
      <w:r>
        <w:rPr>
          <w:rFonts w:hint="eastAsia" w:ascii="宋体" w:hAnsi="宋体" w:cs="宋体"/>
          <w:bCs/>
          <w:sz w:val="30"/>
          <w:szCs w:val="30"/>
          <w:lang w:val="en-US" w:eastAsia="zh-CN"/>
        </w:rPr>
        <w:t>较大。</w:t>
      </w:r>
    </w:p>
    <w:p>
      <w:pPr>
        <w:ind w:firstLine="600" w:firstLineChars="200"/>
        <w:rPr>
          <w:rFonts w:hint="eastAsia" w:ascii="宋体" w:hAnsi="宋体" w:cs="宋体"/>
          <w:bCs/>
          <w:kern w:val="2"/>
          <w:sz w:val="30"/>
          <w:szCs w:val="30"/>
          <w:lang w:val="en-US" w:eastAsia="zh-CN" w:bidi="ar-SA"/>
        </w:rPr>
      </w:pPr>
      <w:r>
        <w:rPr>
          <w:rFonts w:hint="eastAsia" w:ascii="宋体" w:hAnsi="宋体" w:eastAsia="宋体" w:cs="宋体"/>
          <w:bCs/>
          <w:kern w:val="2"/>
          <w:sz w:val="30"/>
          <w:szCs w:val="30"/>
          <w:lang w:val="en-US" w:eastAsia="zh-CN" w:bidi="ar-SA"/>
        </w:rPr>
        <w:t>2020年应急管理局实际支出金额为742.11元，2020年预算支出金额为258.12万元，预算调整</w:t>
      </w:r>
      <w:r>
        <w:rPr>
          <w:rFonts w:hint="eastAsia" w:ascii="宋体" w:hAnsi="宋体" w:cs="宋体"/>
          <w:bCs/>
          <w:kern w:val="2"/>
          <w:sz w:val="30"/>
          <w:szCs w:val="30"/>
          <w:lang w:val="en-US" w:eastAsia="zh-CN" w:bidi="ar-SA"/>
        </w:rPr>
        <w:t>数</w:t>
      </w:r>
      <w:r>
        <w:rPr>
          <w:rFonts w:hint="eastAsia" w:ascii="宋体" w:hAnsi="宋体" w:eastAsia="宋体" w:cs="宋体"/>
          <w:bCs/>
          <w:kern w:val="2"/>
          <w:sz w:val="30"/>
          <w:szCs w:val="30"/>
          <w:lang w:val="en-US" w:eastAsia="zh-CN" w:bidi="ar-SA"/>
        </w:rPr>
        <w:t>483.99万元，预算调整率为187.51%。</w:t>
      </w:r>
      <w:r>
        <w:rPr>
          <w:rFonts w:hint="eastAsia" w:ascii="宋体" w:hAnsi="宋体" w:cs="宋体"/>
          <w:bCs/>
          <w:kern w:val="2"/>
          <w:sz w:val="30"/>
          <w:szCs w:val="30"/>
          <w:lang w:val="en-US" w:eastAsia="zh-CN" w:bidi="ar-SA"/>
        </w:rPr>
        <w:t xml:space="preserve">       </w:t>
      </w:r>
    </w:p>
    <w:p>
      <w:pPr>
        <w:ind w:firstLine="600" w:firstLineChars="200"/>
        <w:rPr>
          <w:rFonts w:hint="eastAsia" w:ascii="宋体" w:hAnsi="宋体" w:eastAsia="宋体" w:cs="宋体"/>
          <w:bCs/>
          <w:kern w:val="2"/>
          <w:sz w:val="30"/>
          <w:szCs w:val="30"/>
          <w:lang w:val="en-US" w:eastAsia="zh-CN" w:bidi="ar-SA"/>
        </w:rPr>
      </w:pPr>
      <w:r>
        <w:rPr>
          <w:rFonts w:hint="eastAsia" w:ascii="宋体" w:hAnsi="宋体" w:cs="宋体"/>
          <w:b w:val="0"/>
          <w:bCs w:val="0"/>
          <w:color w:val="000000"/>
          <w:sz w:val="30"/>
          <w:szCs w:val="30"/>
          <w:highlight w:val="none"/>
          <w:lang w:val="en-US" w:eastAsia="zh-CN"/>
        </w:rPr>
        <w:t>评价人员认为：应该细化</w:t>
      </w:r>
      <w:r>
        <w:rPr>
          <w:rFonts w:hint="eastAsia" w:ascii="宋体" w:hAnsi="宋体" w:eastAsia="宋体" w:cs="宋体"/>
          <w:sz w:val="30"/>
          <w:szCs w:val="30"/>
          <w:lang w:eastAsia="zh-CN"/>
        </w:rPr>
        <w:t>单位年初</w:t>
      </w:r>
      <w:r>
        <w:rPr>
          <w:rFonts w:hint="eastAsia" w:ascii="宋体" w:hAnsi="宋体" w:eastAsia="宋体" w:cs="宋体"/>
          <w:sz w:val="30"/>
          <w:szCs w:val="30"/>
        </w:rPr>
        <w:t>预算</w:t>
      </w:r>
      <w:r>
        <w:rPr>
          <w:rFonts w:hint="eastAsia" w:ascii="宋体" w:hAnsi="宋体" w:cs="宋体"/>
          <w:sz w:val="30"/>
          <w:szCs w:val="30"/>
          <w:lang w:eastAsia="zh-CN"/>
        </w:rPr>
        <w:t>，不能对年初的预算随意进行估算，逐步提供年初预算的精准性。同时</w:t>
      </w:r>
      <w:r>
        <w:rPr>
          <w:rFonts w:hint="eastAsia" w:ascii="宋体" w:hAnsi="宋体" w:eastAsia="宋体" w:cs="宋体"/>
          <w:sz w:val="30"/>
          <w:szCs w:val="30"/>
          <w:lang w:eastAsia="zh-CN"/>
        </w:rPr>
        <w:t>财政部门在年初预算审批的时候，</w:t>
      </w:r>
      <w:r>
        <w:rPr>
          <w:rFonts w:hint="eastAsia" w:ascii="宋体" w:hAnsi="宋体" w:cs="宋体"/>
          <w:sz w:val="30"/>
          <w:szCs w:val="30"/>
          <w:lang w:eastAsia="zh-CN"/>
        </w:rPr>
        <w:t>应尽量避免预算漏项的情况发生</w:t>
      </w:r>
      <w:r>
        <w:rPr>
          <w:rFonts w:hint="eastAsia" w:ascii="宋体" w:hAnsi="宋体" w:eastAsia="宋体" w:cs="宋体"/>
          <w:sz w:val="30"/>
          <w:szCs w:val="30"/>
          <w:lang w:eastAsia="zh-CN"/>
        </w:rPr>
        <w:t>，</w:t>
      </w:r>
      <w:r>
        <w:rPr>
          <w:rFonts w:hint="eastAsia" w:ascii="宋体" w:hAnsi="宋体" w:cs="宋体"/>
          <w:sz w:val="30"/>
          <w:szCs w:val="30"/>
          <w:lang w:eastAsia="zh-CN"/>
        </w:rPr>
        <w:t>对单项预算尽量做到科学化预算，降低年终调整预算的金额，减少“年底突击花钱”的情况出现，杜绝通过年终调整预算谋取私利的情况出现。</w:t>
      </w:r>
    </w:p>
    <w:p>
      <w:pPr>
        <w:ind w:firstLine="600" w:firstLineChars="200"/>
        <w:rPr>
          <w:rFonts w:hint="eastAsia" w:ascii="宋体" w:hAnsi="宋体" w:eastAsia="宋体" w:cs="宋体"/>
          <w:sz w:val="30"/>
          <w:szCs w:val="30"/>
          <w:lang w:val="en-US" w:eastAsia="zh-CN"/>
        </w:rPr>
      </w:pPr>
      <w:r>
        <w:rPr>
          <w:rFonts w:hint="eastAsia" w:ascii="宋体" w:hAnsi="宋体" w:cs="宋体"/>
          <w:sz w:val="30"/>
          <w:szCs w:val="30"/>
          <w:lang w:val="en-US" w:eastAsia="zh-CN"/>
        </w:rPr>
        <w:t>2.</w:t>
      </w:r>
      <w:r>
        <w:rPr>
          <w:rFonts w:hint="eastAsia" w:ascii="宋体" w:hAnsi="宋体" w:eastAsia="宋体" w:cs="宋体"/>
          <w:sz w:val="30"/>
          <w:szCs w:val="30"/>
          <w:lang w:val="en-US" w:eastAsia="zh-CN"/>
        </w:rPr>
        <w:t>资金结余</w:t>
      </w:r>
      <w:r>
        <w:rPr>
          <w:rFonts w:hint="eastAsia" w:ascii="宋体" w:hAnsi="宋体" w:cs="宋体"/>
          <w:sz w:val="30"/>
          <w:szCs w:val="30"/>
          <w:lang w:val="en-US" w:eastAsia="zh-CN"/>
        </w:rPr>
        <w:t>金额较大</w:t>
      </w:r>
    </w:p>
    <w:p>
      <w:pPr>
        <w:ind w:firstLine="600" w:firstLineChars="200"/>
        <w:rPr>
          <w:rFonts w:hint="eastAsia" w:ascii="宋体" w:hAnsi="宋体" w:cs="宋体"/>
          <w:bCs/>
          <w:sz w:val="30"/>
          <w:szCs w:val="30"/>
          <w:lang w:val="en-US" w:eastAsia="zh-CN"/>
        </w:rPr>
      </w:pPr>
      <w:r>
        <w:rPr>
          <w:rFonts w:hint="eastAsia" w:ascii="宋体" w:hAnsi="宋体" w:eastAsia="宋体" w:cs="宋体"/>
          <w:bCs/>
          <w:sz w:val="30"/>
          <w:szCs w:val="30"/>
          <w:lang w:eastAsia="zh-CN"/>
        </w:rPr>
        <w:t>《2020年度本年盈余与预算结余差异调节表》“本年盈余”金额为766401.78元</w:t>
      </w:r>
      <w:r>
        <w:rPr>
          <w:rFonts w:hint="eastAsia" w:ascii="宋体" w:hAnsi="宋体" w:cs="宋体"/>
          <w:bCs/>
          <w:sz w:val="30"/>
          <w:szCs w:val="30"/>
          <w:lang w:eastAsia="zh-CN"/>
        </w:rPr>
        <w:t>，比</w:t>
      </w:r>
      <w:r>
        <w:rPr>
          <w:rFonts w:hint="eastAsia" w:ascii="宋体" w:hAnsi="宋体" w:cs="宋体"/>
          <w:bCs/>
          <w:sz w:val="30"/>
          <w:szCs w:val="30"/>
          <w:lang w:val="en-US" w:eastAsia="zh-CN"/>
        </w:rPr>
        <w:t>2019年的盈余</w:t>
      </w:r>
      <w:r>
        <w:rPr>
          <w:rFonts w:hint="eastAsia" w:ascii="宋体" w:hAnsi="宋体" w:eastAsia="宋体" w:cs="宋体"/>
          <w:bCs/>
          <w:sz w:val="30"/>
          <w:szCs w:val="30"/>
          <w:lang w:eastAsia="zh-CN"/>
        </w:rPr>
        <w:t>金额46406.44元</w:t>
      </w:r>
      <w:r>
        <w:rPr>
          <w:rFonts w:hint="eastAsia" w:ascii="宋体" w:hAnsi="宋体" w:cs="宋体"/>
          <w:bCs/>
          <w:sz w:val="30"/>
          <w:szCs w:val="30"/>
          <w:lang w:eastAsia="zh-CN"/>
        </w:rPr>
        <w:t>，增加</w:t>
      </w:r>
      <w:r>
        <w:rPr>
          <w:rFonts w:hint="eastAsia" w:ascii="宋体" w:hAnsi="宋体" w:cs="宋体"/>
          <w:bCs/>
          <w:sz w:val="30"/>
          <w:szCs w:val="30"/>
          <w:lang w:val="en-US" w:eastAsia="zh-CN"/>
        </w:rPr>
        <w:t>719995.34元，资金结余金额较大，造成资金沉淀。</w:t>
      </w:r>
    </w:p>
    <w:p>
      <w:pPr>
        <w:pStyle w:val="2"/>
        <w:ind w:left="0" w:leftChars="0" w:firstLine="600" w:firstLineChars="200"/>
        <w:rPr>
          <w:rFonts w:hint="eastAsia" w:ascii="宋体" w:hAnsi="宋体" w:eastAsia="宋体" w:cs="宋体"/>
          <w:sz w:val="30"/>
          <w:szCs w:val="30"/>
          <w:lang w:eastAsia="zh-CN"/>
        </w:rPr>
      </w:pPr>
      <w:r>
        <w:rPr>
          <w:rFonts w:hint="eastAsia" w:ascii="宋体" w:hAnsi="宋体" w:cs="宋体"/>
          <w:bCs/>
          <w:sz w:val="30"/>
          <w:szCs w:val="30"/>
          <w:lang w:val="en-US" w:eastAsia="zh-CN"/>
        </w:rPr>
        <w:t>评价人员认为：应该提高预算资金的使用效率，加强年初预算的精准性和严肃性，严格控制预算调整的规模、减少预算资金的滞留。</w:t>
      </w:r>
    </w:p>
    <w:p>
      <w:pPr>
        <w:numPr>
          <w:ilvl w:val="0"/>
          <w:numId w:val="0"/>
        </w:numPr>
        <w:ind w:firstLine="602" w:firstLineChars="200"/>
        <w:rPr>
          <w:rFonts w:hint="eastAsia" w:ascii="宋体" w:hAnsi="宋体" w:eastAsia="宋体" w:cs="宋体"/>
          <w:b w:val="0"/>
          <w:bCs w:val="0"/>
          <w:color w:val="auto"/>
          <w:sz w:val="30"/>
          <w:szCs w:val="30"/>
          <w:lang w:val="en-US" w:eastAsia="zh-CN"/>
        </w:rPr>
      </w:pPr>
      <w:r>
        <w:rPr>
          <w:rFonts w:hint="eastAsia" w:ascii="宋体" w:hAnsi="宋体" w:eastAsia="宋体" w:cs="宋体"/>
          <w:b/>
          <w:bCs/>
          <w:sz w:val="30"/>
          <w:szCs w:val="30"/>
          <w:lang w:val="en-US" w:eastAsia="zh-CN"/>
        </w:rPr>
        <w:t>（二）预算管理方面</w:t>
      </w:r>
    </w:p>
    <w:p>
      <w:pPr>
        <w:ind w:firstLine="904" w:firstLineChars="300"/>
        <w:rPr>
          <w:rFonts w:hint="eastAsia" w:ascii="宋体" w:hAnsi="宋体" w:eastAsia="宋体" w:cs="宋体"/>
          <w:b/>
          <w:kern w:val="0"/>
          <w:sz w:val="30"/>
          <w:szCs w:val="30"/>
          <w:lang w:val="en-US" w:eastAsia="zh-CN"/>
        </w:rPr>
      </w:pPr>
      <w:r>
        <w:rPr>
          <w:rFonts w:hint="eastAsia" w:ascii="宋体" w:hAnsi="宋体" w:cs="宋体"/>
          <w:b/>
          <w:kern w:val="0"/>
          <w:sz w:val="30"/>
          <w:szCs w:val="30"/>
          <w:lang w:val="en-US" w:eastAsia="zh-CN"/>
        </w:rPr>
        <w:t>1.</w:t>
      </w:r>
      <w:r>
        <w:rPr>
          <w:rFonts w:hint="eastAsia" w:ascii="宋体" w:hAnsi="宋体" w:eastAsia="宋体" w:cs="宋体"/>
          <w:b/>
          <w:kern w:val="0"/>
          <w:sz w:val="30"/>
          <w:szCs w:val="30"/>
        </w:rPr>
        <w:t>报账</w:t>
      </w:r>
      <w:r>
        <w:rPr>
          <w:rFonts w:hint="eastAsia" w:ascii="宋体" w:hAnsi="宋体" w:eastAsia="宋体" w:cs="宋体"/>
          <w:b/>
          <w:kern w:val="0"/>
          <w:sz w:val="30"/>
          <w:szCs w:val="30"/>
          <w:lang w:val="en-US" w:eastAsia="zh-CN"/>
        </w:rPr>
        <w:t>程序不合规</w:t>
      </w:r>
    </w:p>
    <w:p>
      <w:pPr>
        <w:ind w:firstLine="600" w:firstLineChars="200"/>
        <w:rPr>
          <w:rFonts w:hint="eastAsia" w:ascii="宋体" w:hAnsi="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（1）2020.9.30.13#在基本支出中报销执法车油费15000元，仅凭发票和IC卡消费账单报账，</w:t>
      </w:r>
      <w:r>
        <w:rPr>
          <w:rFonts w:hint="eastAsia" w:ascii="宋体" w:hAnsi="宋体" w:cs="宋体"/>
          <w:b w:val="0"/>
          <w:bCs w:val="0"/>
          <w:color w:val="auto"/>
          <w:sz w:val="30"/>
          <w:szCs w:val="30"/>
          <w:lang w:val="en-US" w:eastAsia="zh-CN"/>
        </w:rPr>
        <w:t>报账手续不齐，</w:t>
      </w:r>
      <w:r>
        <w:rPr>
          <w:rFonts w:hint="eastAsia" w:ascii="宋体" w:hAnsi="宋体" w:eastAsia="宋体" w:cs="宋体"/>
          <w:b w:val="0"/>
          <w:bCs w:val="0"/>
          <w:color w:val="auto"/>
          <w:sz w:val="30"/>
          <w:szCs w:val="30"/>
          <w:lang w:val="en-US" w:eastAsia="zh-CN"/>
        </w:rPr>
        <w:t>内控制度不严</w:t>
      </w:r>
      <w:r>
        <w:rPr>
          <w:rFonts w:hint="eastAsia" w:ascii="宋体" w:hAnsi="宋体" w:cs="宋体"/>
          <w:b w:val="0"/>
          <w:bCs w:val="0"/>
          <w:color w:val="auto"/>
          <w:sz w:val="30"/>
          <w:szCs w:val="30"/>
          <w:lang w:val="en-US" w:eastAsia="zh-CN"/>
        </w:rPr>
        <w:t>，</w:t>
      </w:r>
      <w:r>
        <w:rPr>
          <w:rFonts w:hint="eastAsia" w:ascii="宋体" w:hAnsi="宋体" w:eastAsia="宋体" w:cs="宋体"/>
          <w:b w:val="0"/>
          <w:bCs w:val="0"/>
          <w:color w:val="auto"/>
          <w:sz w:val="30"/>
          <w:szCs w:val="30"/>
          <w:lang w:val="en-US" w:eastAsia="zh-CN"/>
        </w:rPr>
        <w:t>应补充车辆行驶里程记录及每天出车派车单等资料佐证油料消耗情况</w:t>
      </w:r>
      <w:r>
        <w:rPr>
          <w:rFonts w:hint="eastAsia" w:ascii="宋体" w:hAnsi="宋体" w:cs="宋体"/>
          <w:b w:val="0"/>
          <w:bCs w:val="0"/>
          <w:color w:val="auto"/>
          <w:sz w:val="30"/>
          <w:szCs w:val="30"/>
          <w:lang w:val="en-US" w:eastAsia="zh-CN"/>
        </w:rPr>
        <w:t>。</w:t>
      </w:r>
    </w:p>
    <w:p>
      <w:pPr>
        <w:ind w:firstLine="600" w:firstLineChars="200"/>
        <w:rPr>
          <w:rFonts w:hint="eastAsia" w:ascii="宋体" w:hAnsi="宋体" w:eastAsia="宋体" w:cs="宋体"/>
          <w:b w:val="0"/>
          <w:bCs w:val="0"/>
          <w:color w:val="auto"/>
          <w:sz w:val="30"/>
          <w:szCs w:val="30"/>
          <w:lang w:val="en-US" w:eastAsia="zh-CN"/>
        </w:rPr>
      </w:pPr>
      <w:r>
        <w:rPr>
          <w:rFonts w:hint="eastAsia" w:ascii="宋体" w:hAnsi="宋体" w:cs="宋体"/>
          <w:b w:val="0"/>
          <w:bCs w:val="0"/>
          <w:color w:val="auto"/>
          <w:sz w:val="30"/>
          <w:szCs w:val="30"/>
          <w:lang w:val="en-US" w:eastAsia="zh-CN"/>
        </w:rPr>
        <w:t>评价人员认为：单位应出台公务用车管理制度，对每次出车都要求用车部门填写派车审批单，注明起止地点、使用时间、估计车辆行驶里程，由办公室及分管领导审批，报账时应提供派车单、车辆的实际行驶里程等资料，以佐证油料消耗的真实性，坚决杜绝用单位汽油</w:t>
      </w:r>
      <w:r>
        <w:rPr>
          <w:rFonts w:hint="eastAsia" w:ascii="宋体" w:hAnsi="宋体" w:eastAsia="宋体" w:cs="宋体"/>
          <w:b w:val="0"/>
          <w:bCs w:val="0"/>
          <w:color w:val="auto"/>
          <w:sz w:val="30"/>
          <w:szCs w:val="30"/>
          <w:lang w:val="en-US" w:eastAsia="zh-CN"/>
        </w:rPr>
        <w:t>IC卡</w:t>
      </w:r>
      <w:r>
        <w:rPr>
          <w:rFonts w:hint="eastAsia" w:ascii="宋体" w:hAnsi="宋体" w:cs="宋体"/>
          <w:b w:val="0"/>
          <w:bCs w:val="0"/>
          <w:color w:val="auto"/>
          <w:sz w:val="30"/>
          <w:szCs w:val="30"/>
          <w:lang w:val="en-US" w:eastAsia="zh-CN"/>
        </w:rPr>
        <w:t>给私车加油的情况存在。</w:t>
      </w:r>
    </w:p>
    <w:p>
      <w:pPr>
        <w:ind w:firstLine="600" w:firstLineChars="200"/>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（2）2020.12.31.15#在项目支出中报销长岭地区市场安全隐患整治餐费开支18780元，每天中餐、晚餐安排3-5桌不等，</w:t>
      </w:r>
      <w:r>
        <w:rPr>
          <w:rFonts w:hint="eastAsia" w:ascii="宋体" w:hAnsi="宋体" w:cs="宋体"/>
          <w:b w:val="0"/>
          <w:bCs w:val="0"/>
          <w:color w:val="auto"/>
          <w:sz w:val="30"/>
          <w:szCs w:val="30"/>
          <w:lang w:val="en-US" w:eastAsia="zh-CN"/>
        </w:rPr>
        <w:t>由</w:t>
      </w:r>
      <w:r>
        <w:rPr>
          <w:rFonts w:hint="eastAsia" w:ascii="宋体" w:hAnsi="宋体" w:eastAsia="宋体" w:cs="宋体"/>
          <w:b w:val="0"/>
          <w:bCs w:val="0"/>
          <w:color w:val="auto"/>
          <w:sz w:val="30"/>
          <w:szCs w:val="30"/>
          <w:lang w:val="en-US" w:eastAsia="zh-CN"/>
        </w:rPr>
        <w:t>经手人陈</w:t>
      </w:r>
      <w:r>
        <w:rPr>
          <w:rFonts w:hint="eastAsia" w:ascii="宋体" w:hAnsi="宋体" w:cs="宋体"/>
          <w:b w:val="0"/>
          <w:bCs w:val="0"/>
          <w:color w:val="auto"/>
          <w:sz w:val="30"/>
          <w:szCs w:val="30"/>
          <w:lang w:val="en-US" w:eastAsia="zh-CN"/>
        </w:rPr>
        <w:t>鹏</w:t>
      </w:r>
      <w:r>
        <w:rPr>
          <w:rFonts w:hint="eastAsia" w:ascii="宋体" w:hAnsi="宋体" w:eastAsia="宋体" w:cs="宋体"/>
          <w:b w:val="0"/>
          <w:bCs w:val="0"/>
          <w:color w:val="auto"/>
          <w:sz w:val="30"/>
          <w:szCs w:val="30"/>
          <w:lang w:val="en-US" w:eastAsia="zh-CN"/>
        </w:rPr>
        <w:t>在点菜单</w:t>
      </w:r>
      <w:r>
        <w:rPr>
          <w:rFonts w:hint="eastAsia" w:ascii="宋体" w:hAnsi="宋体" w:cs="宋体"/>
          <w:b w:val="0"/>
          <w:bCs w:val="0"/>
          <w:color w:val="auto"/>
          <w:sz w:val="30"/>
          <w:szCs w:val="30"/>
          <w:lang w:val="en-US" w:eastAsia="zh-CN"/>
        </w:rPr>
        <w:t>上</w:t>
      </w:r>
      <w:r>
        <w:rPr>
          <w:rFonts w:hint="eastAsia" w:ascii="宋体" w:hAnsi="宋体" w:eastAsia="宋体" w:cs="宋体"/>
          <w:b w:val="0"/>
          <w:bCs w:val="0"/>
          <w:color w:val="auto"/>
          <w:sz w:val="30"/>
          <w:szCs w:val="30"/>
          <w:lang w:val="en-US" w:eastAsia="zh-CN"/>
        </w:rPr>
        <w:t>签字，</w:t>
      </w:r>
      <w:r>
        <w:rPr>
          <w:rFonts w:hint="eastAsia" w:ascii="宋体" w:hAnsi="宋体" w:cs="宋体"/>
          <w:b w:val="0"/>
          <w:bCs w:val="0"/>
          <w:color w:val="auto"/>
          <w:sz w:val="30"/>
          <w:szCs w:val="30"/>
          <w:lang w:val="en-US" w:eastAsia="zh-CN"/>
        </w:rPr>
        <w:t>未使用公务卡刷卡支出，</w:t>
      </w:r>
      <w:r>
        <w:rPr>
          <w:rFonts w:hint="eastAsia" w:ascii="宋体" w:hAnsi="宋体" w:eastAsia="宋体" w:cs="宋体"/>
          <w:b w:val="0"/>
          <w:bCs w:val="0"/>
          <w:color w:val="auto"/>
          <w:sz w:val="30"/>
          <w:szCs w:val="30"/>
          <w:lang w:val="en-US" w:eastAsia="zh-CN"/>
        </w:rPr>
        <w:t>为保证报销餐费的真实性，应补充提供每天参加整治行动队员的签到单</w:t>
      </w:r>
      <w:r>
        <w:rPr>
          <w:rFonts w:hint="eastAsia" w:ascii="宋体" w:hAnsi="宋体" w:cs="宋体"/>
          <w:b w:val="0"/>
          <w:bCs w:val="0"/>
          <w:color w:val="auto"/>
          <w:sz w:val="30"/>
          <w:szCs w:val="30"/>
          <w:lang w:val="en-US" w:eastAsia="zh-CN"/>
        </w:rPr>
        <w:t>及其他资料</w:t>
      </w:r>
      <w:r>
        <w:rPr>
          <w:rFonts w:hint="eastAsia" w:ascii="宋体" w:hAnsi="宋体" w:eastAsia="宋体" w:cs="宋体"/>
          <w:b w:val="0"/>
          <w:bCs w:val="0"/>
          <w:color w:val="auto"/>
          <w:sz w:val="30"/>
          <w:szCs w:val="30"/>
          <w:lang w:val="en-US" w:eastAsia="zh-CN"/>
        </w:rPr>
        <w:t>，作为餐费报销的佐证资料</w:t>
      </w:r>
      <w:r>
        <w:rPr>
          <w:rFonts w:hint="eastAsia" w:ascii="宋体" w:hAnsi="宋体" w:cs="宋体"/>
          <w:b w:val="0"/>
          <w:bCs w:val="0"/>
          <w:color w:val="auto"/>
          <w:sz w:val="30"/>
          <w:szCs w:val="30"/>
          <w:lang w:val="en-US" w:eastAsia="zh-CN"/>
        </w:rPr>
        <w:t>报账</w:t>
      </w:r>
      <w:r>
        <w:rPr>
          <w:rFonts w:hint="eastAsia" w:ascii="宋体" w:hAnsi="宋体" w:eastAsia="宋体" w:cs="宋体"/>
          <w:b w:val="0"/>
          <w:bCs w:val="0"/>
          <w:color w:val="auto"/>
          <w:sz w:val="30"/>
          <w:szCs w:val="30"/>
          <w:lang w:val="en-US" w:eastAsia="zh-CN"/>
        </w:rPr>
        <w:t>。</w:t>
      </w:r>
    </w:p>
    <w:p>
      <w:pPr>
        <w:pStyle w:val="2"/>
        <w:ind w:left="0" w:leftChars="0" w:firstLine="600" w:firstLineChars="200"/>
        <w:rPr>
          <w:rFonts w:hint="eastAsia"/>
        </w:rPr>
      </w:pPr>
      <w:r>
        <w:rPr>
          <w:rFonts w:hint="eastAsia" w:ascii="宋体" w:hAnsi="宋体" w:cs="宋体"/>
          <w:b w:val="0"/>
          <w:bCs w:val="0"/>
          <w:color w:val="auto"/>
          <w:sz w:val="30"/>
          <w:szCs w:val="30"/>
          <w:lang w:val="en-US" w:eastAsia="zh-CN"/>
        </w:rPr>
        <w:t>评价人员认为：工作人员去</w:t>
      </w:r>
      <w:r>
        <w:rPr>
          <w:rFonts w:hint="eastAsia" w:ascii="宋体" w:hAnsi="宋体" w:eastAsia="宋体" w:cs="宋体"/>
          <w:b w:val="0"/>
          <w:bCs w:val="0"/>
          <w:color w:val="auto"/>
          <w:sz w:val="30"/>
          <w:szCs w:val="30"/>
          <w:lang w:val="en-US" w:eastAsia="zh-CN"/>
        </w:rPr>
        <w:t>长岭地区</w:t>
      </w:r>
      <w:r>
        <w:rPr>
          <w:rFonts w:hint="eastAsia" w:ascii="宋体" w:hAnsi="宋体" w:cs="宋体"/>
          <w:b w:val="0"/>
          <w:bCs w:val="0"/>
          <w:color w:val="auto"/>
          <w:sz w:val="30"/>
          <w:szCs w:val="30"/>
          <w:lang w:val="en-US" w:eastAsia="zh-CN"/>
        </w:rPr>
        <w:t>参加整治工作，相关的人员应按照《云溪区行政事业单位差旅费管理办法》的规定中餐40元、晚餐40元的标准领取餐费补贴，不应再在应急局统一报销餐费，同时应尽量避免采取多次签单、一次结账的形式报账，应尽量使用公务卡刷卡消费，以控制虚假报账的情况存在。</w:t>
      </w:r>
    </w:p>
    <w:p>
      <w:pPr>
        <w:pStyle w:val="2"/>
        <w:numPr>
          <w:ilvl w:val="0"/>
          <w:numId w:val="0"/>
        </w:numPr>
        <w:ind w:firstLine="602" w:firstLineChars="200"/>
        <w:rPr>
          <w:rFonts w:hint="eastAsia" w:ascii="宋体" w:hAnsi="宋体" w:eastAsia="宋体" w:cs="宋体"/>
          <w:b/>
          <w:kern w:val="0"/>
          <w:sz w:val="30"/>
          <w:szCs w:val="30"/>
        </w:rPr>
      </w:pPr>
      <w:r>
        <w:rPr>
          <w:rFonts w:hint="eastAsia" w:ascii="宋体" w:hAnsi="宋体" w:cs="宋体"/>
          <w:b/>
          <w:kern w:val="0"/>
          <w:sz w:val="30"/>
          <w:szCs w:val="30"/>
          <w:lang w:val="en-US" w:eastAsia="zh-CN"/>
        </w:rPr>
        <w:t>2.</w:t>
      </w:r>
      <w:r>
        <w:rPr>
          <w:rFonts w:hint="eastAsia" w:ascii="宋体" w:hAnsi="宋体" w:eastAsia="宋体" w:cs="宋体"/>
          <w:b/>
          <w:kern w:val="0"/>
          <w:sz w:val="30"/>
          <w:szCs w:val="30"/>
          <w:lang w:val="en-US" w:eastAsia="zh-CN"/>
        </w:rPr>
        <w:t>以拨作支</w:t>
      </w:r>
    </w:p>
    <w:p>
      <w:pPr>
        <w:ind w:firstLine="600" w:firstLineChars="200"/>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（1）2020年1-12月，累计向非拨款单位拨款180万元，其中拨区水利局救灾资金80万元，下拨街道、镇救灾资金100万元，这些资金都</w:t>
      </w:r>
      <w:r>
        <w:rPr>
          <w:rFonts w:hint="eastAsia" w:ascii="宋体" w:hAnsi="宋体" w:cs="宋体"/>
          <w:b w:val="0"/>
          <w:bCs w:val="0"/>
          <w:color w:val="auto"/>
          <w:sz w:val="30"/>
          <w:szCs w:val="30"/>
          <w:lang w:val="en-US" w:eastAsia="zh-CN"/>
        </w:rPr>
        <w:t>是</w:t>
      </w:r>
      <w:r>
        <w:rPr>
          <w:rFonts w:hint="eastAsia" w:ascii="宋体" w:hAnsi="宋体" w:eastAsia="宋体" w:cs="宋体"/>
          <w:b w:val="0"/>
          <w:bCs w:val="0"/>
          <w:color w:val="auto"/>
          <w:sz w:val="30"/>
          <w:szCs w:val="30"/>
          <w:lang w:val="en-US" w:eastAsia="zh-CN"/>
        </w:rPr>
        <w:t>10月-12月拨出，比如2020年12月31日拨水利局40万元，</w:t>
      </w:r>
      <w:r>
        <w:rPr>
          <w:rFonts w:hint="eastAsia" w:ascii="宋体" w:hAnsi="宋体" w:cs="宋体"/>
          <w:b w:val="0"/>
          <w:bCs w:val="0"/>
          <w:color w:val="auto"/>
          <w:sz w:val="30"/>
          <w:szCs w:val="30"/>
          <w:lang w:val="en-US" w:eastAsia="zh-CN"/>
        </w:rPr>
        <w:t>该专项</w:t>
      </w:r>
      <w:r>
        <w:rPr>
          <w:rFonts w:hint="eastAsia" w:ascii="宋体" w:hAnsi="宋体" w:eastAsia="宋体" w:cs="宋体"/>
          <w:b w:val="0"/>
          <w:bCs w:val="0"/>
          <w:color w:val="auto"/>
          <w:sz w:val="30"/>
          <w:szCs w:val="30"/>
          <w:lang w:val="en-US" w:eastAsia="zh-CN"/>
        </w:rPr>
        <w:t>资金</w:t>
      </w:r>
      <w:r>
        <w:rPr>
          <w:rFonts w:hint="eastAsia" w:ascii="宋体" w:hAnsi="宋体" w:cs="宋体"/>
          <w:b w:val="0"/>
          <w:bCs w:val="0"/>
          <w:color w:val="auto"/>
          <w:sz w:val="30"/>
          <w:szCs w:val="30"/>
          <w:lang w:val="en-US" w:eastAsia="zh-CN"/>
        </w:rPr>
        <w:t>去水利局</w:t>
      </w:r>
      <w:r>
        <w:rPr>
          <w:rFonts w:hint="eastAsia" w:ascii="宋体" w:hAnsi="宋体" w:eastAsia="宋体" w:cs="宋体"/>
          <w:b w:val="0"/>
          <w:bCs w:val="0"/>
          <w:color w:val="auto"/>
          <w:sz w:val="30"/>
          <w:szCs w:val="30"/>
          <w:lang w:val="en-US" w:eastAsia="zh-CN"/>
        </w:rPr>
        <w:t>2020年度</w:t>
      </w:r>
      <w:r>
        <w:rPr>
          <w:rFonts w:hint="eastAsia" w:ascii="宋体" w:hAnsi="宋体" w:cs="宋体"/>
          <w:b w:val="0"/>
          <w:bCs w:val="0"/>
          <w:color w:val="auto"/>
          <w:sz w:val="30"/>
          <w:szCs w:val="30"/>
          <w:lang w:val="en-US" w:eastAsia="zh-CN"/>
        </w:rPr>
        <w:t>肯定</w:t>
      </w:r>
      <w:r>
        <w:rPr>
          <w:rFonts w:hint="eastAsia" w:ascii="宋体" w:hAnsi="宋体" w:eastAsia="宋体" w:cs="宋体"/>
          <w:b w:val="0"/>
          <w:bCs w:val="0"/>
          <w:color w:val="auto"/>
          <w:sz w:val="30"/>
          <w:szCs w:val="30"/>
          <w:lang w:val="en-US" w:eastAsia="zh-CN"/>
        </w:rPr>
        <w:t>来不及</w:t>
      </w:r>
      <w:r>
        <w:rPr>
          <w:rFonts w:hint="eastAsia" w:ascii="宋体" w:hAnsi="宋体" w:cs="宋体"/>
          <w:b w:val="0"/>
          <w:bCs w:val="0"/>
          <w:color w:val="auto"/>
          <w:sz w:val="30"/>
          <w:szCs w:val="30"/>
          <w:lang w:val="en-US" w:eastAsia="zh-CN"/>
        </w:rPr>
        <w:t>使用</w:t>
      </w:r>
      <w:r>
        <w:rPr>
          <w:rFonts w:hint="eastAsia" w:ascii="宋体" w:hAnsi="宋体" w:eastAsia="宋体" w:cs="宋体"/>
          <w:b w:val="0"/>
          <w:bCs w:val="0"/>
          <w:color w:val="auto"/>
          <w:sz w:val="30"/>
          <w:szCs w:val="30"/>
          <w:lang w:val="en-US" w:eastAsia="zh-CN"/>
        </w:rPr>
        <w:t>，</w:t>
      </w:r>
      <w:r>
        <w:rPr>
          <w:rFonts w:hint="eastAsia" w:ascii="宋体" w:hAnsi="宋体" w:cs="宋体"/>
          <w:b w:val="0"/>
          <w:bCs w:val="0"/>
          <w:color w:val="auto"/>
          <w:sz w:val="30"/>
          <w:szCs w:val="30"/>
          <w:lang w:val="en-US" w:eastAsia="zh-CN"/>
        </w:rPr>
        <w:t>这样就</w:t>
      </w:r>
      <w:r>
        <w:rPr>
          <w:rFonts w:hint="eastAsia" w:ascii="宋体" w:hAnsi="宋体" w:eastAsia="宋体" w:cs="宋体"/>
          <w:b w:val="0"/>
          <w:bCs w:val="0"/>
          <w:color w:val="auto"/>
          <w:sz w:val="30"/>
          <w:szCs w:val="30"/>
          <w:lang w:val="en-US" w:eastAsia="zh-CN"/>
        </w:rPr>
        <w:t>虚增了2020年度的救灾资金支出</w:t>
      </w:r>
      <w:r>
        <w:rPr>
          <w:rFonts w:hint="eastAsia" w:ascii="宋体" w:hAnsi="宋体" w:cs="宋体"/>
          <w:b w:val="0"/>
          <w:bCs w:val="0"/>
          <w:color w:val="auto"/>
          <w:sz w:val="30"/>
          <w:szCs w:val="30"/>
          <w:lang w:val="en-US" w:eastAsia="zh-CN"/>
        </w:rPr>
        <w:t>，形成“以拨作支”的情况</w:t>
      </w:r>
      <w:r>
        <w:rPr>
          <w:rFonts w:hint="eastAsia" w:ascii="宋体" w:hAnsi="宋体" w:eastAsia="宋体" w:cs="宋体"/>
          <w:b w:val="0"/>
          <w:bCs w:val="0"/>
          <w:color w:val="auto"/>
          <w:sz w:val="30"/>
          <w:szCs w:val="30"/>
          <w:lang w:val="en-US" w:eastAsia="zh-CN"/>
        </w:rPr>
        <w:t>。</w:t>
      </w:r>
    </w:p>
    <w:p>
      <w:pPr>
        <w:ind w:firstLine="600" w:firstLineChars="200"/>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（2）2020年1-12月，累计向非拨款单位拨款11万元，其中拨陆城镇救灾资金3万元，下拨长岭街道办事处救灾资金4万元，隐患排查宣传费4万元，仅凭资金申请报告下拨专项资金到各乡镇街道，资金的实际用途不明。</w:t>
      </w:r>
    </w:p>
    <w:p>
      <w:pPr>
        <w:ind w:firstLine="600" w:firstLineChars="200"/>
        <w:rPr>
          <w:rFonts w:hint="eastAsia" w:ascii="宋体" w:hAnsi="宋体" w:eastAsia="宋体" w:cs="宋体"/>
          <w:b/>
          <w:kern w:val="0"/>
          <w:sz w:val="30"/>
          <w:szCs w:val="30"/>
        </w:rPr>
      </w:pPr>
      <w:r>
        <w:rPr>
          <w:rFonts w:hint="eastAsia" w:ascii="宋体" w:hAnsi="宋体" w:cs="宋体"/>
          <w:b w:val="0"/>
          <w:bCs w:val="0"/>
          <w:color w:val="auto"/>
          <w:sz w:val="30"/>
          <w:szCs w:val="30"/>
          <w:lang w:val="en-US" w:eastAsia="zh-CN"/>
        </w:rPr>
        <w:t>评价人员认为：</w:t>
      </w:r>
      <w:r>
        <w:rPr>
          <w:rFonts w:hint="eastAsia" w:ascii="宋体" w:hAnsi="宋体" w:eastAsia="宋体" w:cs="宋体"/>
          <w:b w:val="0"/>
          <w:bCs w:val="0"/>
          <w:color w:val="auto"/>
          <w:sz w:val="30"/>
          <w:szCs w:val="30"/>
          <w:lang w:val="en-US" w:eastAsia="zh-CN"/>
        </w:rPr>
        <w:t>上述合计191万元，</w:t>
      </w:r>
      <w:r>
        <w:rPr>
          <w:rFonts w:hint="eastAsia" w:ascii="宋体" w:hAnsi="宋体" w:cs="宋体"/>
          <w:b w:val="0"/>
          <w:bCs w:val="0"/>
          <w:color w:val="auto"/>
          <w:sz w:val="30"/>
          <w:szCs w:val="30"/>
          <w:lang w:val="en-US" w:eastAsia="zh-CN"/>
        </w:rPr>
        <w:t>存在</w:t>
      </w:r>
      <w:r>
        <w:rPr>
          <w:rFonts w:hint="eastAsia" w:ascii="宋体" w:hAnsi="宋体" w:eastAsia="宋体" w:cs="宋体"/>
          <w:b w:val="0"/>
          <w:bCs w:val="0"/>
          <w:color w:val="auto"/>
          <w:sz w:val="30"/>
          <w:szCs w:val="30"/>
          <w:lang w:val="en-US" w:eastAsia="zh-CN"/>
        </w:rPr>
        <w:t>虚</w:t>
      </w:r>
      <w:r>
        <w:rPr>
          <w:rFonts w:hint="eastAsia" w:ascii="宋体" w:hAnsi="宋体" w:cs="宋体"/>
          <w:b w:val="0"/>
          <w:bCs w:val="0"/>
          <w:color w:val="auto"/>
          <w:sz w:val="30"/>
          <w:szCs w:val="30"/>
          <w:lang w:val="en-US" w:eastAsia="zh-CN"/>
        </w:rPr>
        <w:t>增当年</w:t>
      </w:r>
      <w:r>
        <w:rPr>
          <w:rFonts w:hint="eastAsia" w:ascii="宋体" w:hAnsi="宋体" w:eastAsia="宋体" w:cs="宋体"/>
          <w:b w:val="0"/>
          <w:bCs w:val="0"/>
          <w:color w:val="auto"/>
          <w:sz w:val="30"/>
          <w:szCs w:val="30"/>
          <w:lang w:val="en-US" w:eastAsia="zh-CN"/>
        </w:rPr>
        <w:t>支出、</w:t>
      </w:r>
      <w:r>
        <w:rPr>
          <w:rFonts w:hint="eastAsia" w:ascii="宋体" w:hAnsi="宋体" w:cs="宋体"/>
          <w:b w:val="0"/>
          <w:bCs w:val="0"/>
          <w:color w:val="auto"/>
          <w:sz w:val="30"/>
          <w:szCs w:val="30"/>
          <w:lang w:val="en-US" w:eastAsia="zh-CN"/>
        </w:rPr>
        <w:t>专项资金</w:t>
      </w:r>
      <w:r>
        <w:rPr>
          <w:rFonts w:hint="eastAsia" w:ascii="宋体" w:hAnsi="宋体" w:eastAsia="宋体" w:cs="宋体"/>
          <w:b w:val="0"/>
          <w:bCs w:val="0"/>
          <w:color w:val="auto"/>
          <w:sz w:val="30"/>
          <w:szCs w:val="30"/>
          <w:lang w:val="en-US" w:eastAsia="zh-CN"/>
        </w:rPr>
        <w:t>以拨作支的情况，</w:t>
      </w:r>
      <w:r>
        <w:rPr>
          <w:rFonts w:hint="eastAsia" w:ascii="宋体" w:hAnsi="宋体" w:cs="宋体"/>
          <w:b w:val="0"/>
          <w:bCs w:val="0"/>
          <w:color w:val="auto"/>
          <w:sz w:val="30"/>
          <w:szCs w:val="30"/>
          <w:lang w:val="en-US" w:eastAsia="zh-CN"/>
        </w:rPr>
        <w:t>上述支出</w:t>
      </w:r>
      <w:r>
        <w:rPr>
          <w:rFonts w:hint="eastAsia" w:ascii="宋体" w:hAnsi="宋体" w:eastAsia="宋体" w:cs="宋体"/>
          <w:b w:val="0"/>
          <w:bCs w:val="0"/>
          <w:color w:val="auto"/>
          <w:sz w:val="30"/>
          <w:szCs w:val="30"/>
          <w:lang w:val="en-US" w:eastAsia="zh-CN"/>
        </w:rPr>
        <w:t>应列拨出专款</w:t>
      </w:r>
      <w:r>
        <w:rPr>
          <w:rFonts w:hint="eastAsia" w:ascii="宋体" w:hAnsi="宋体" w:cs="宋体"/>
          <w:b w:val="0"/>
          <w:bCs w:val="0"/>
          <w:color w:val="auto"/>
          <w:sz w:val="30"/>
          <w:szCs w:val="30"/>
          <w:lang w:val="en-US" w:eastAsia="zh-CN"/>
        </w:rPr>
        <w:t>科目</w:t>
      </w:r>
      <w:r>
        <w:rPr>
          <w:rFonts w:hint="eastAsia" w:ascii="宋体" w:hAnsi="宋体" w:eastAsia="宋体" w:cs="宋体"/>
          <w:b w:val="0"/>
          <w:bCs w:val="0"/>
          <w:color w:val="auto"/>
          <w:sz w:val="30"/>
          <w:szCs w:val="30"/>
          <w:lang w:val="en-US" w:eastAsia="zh-CN"/>
        </w:rPr>
        <w:t>核算，同时为了不虚增云溪区应急管理局的项目资金预算，</w:t>
      </w:r>
      <w:r>
        <w:rPr>
          <w:rFonts w:hint="eastAsia" w:ascii="宋体" w:hAnsi="宋体" w:cs="宋体"/>
          <w:b w:val="0"/>
          <w:bCs w:val="0"/>
          <w:color w:val="auto"/>
          <w:sz w:val="30"/>
          <w:szCs w:val="30"/>
          <w:lang w:val="en-US" w:eastAsia="zh-CN"/>
        </w:rPr>
        <w:t>建议</w:t>
      </w:r>
      <w:r>
        <w:rPr>
          <w:rFonts w:hint="eastAsia" w:ascii="宋体" w:hAnsi="宋体" w:eastAsia="宋体" w:cs="宋体"/>
          <w:b w:val="0"/>
          <w:bCs w:val="0"/>
          <w:color w:val="auto"/>
          <w:sz w:val="30"/>
          <w:szCs w:val="30"/>
          <w:lang w:val="en-US" w:eastAsia="zh-CN"/>
        </w:rPr>
        <w:t>由</w:t>
      </w:r>
      <w:r>
        <w:rPr>
          <w:rFonts w:hint="eastAsia" w:ascii="宋体" w:hAnsi="宋体" w:cs="宋体"/>
          <w:b w:val="0"/>
          <w:bCs w:val="0"/>
          <w:color w:val="auto"/>
          <w:sz w:val="30"/>
          <w:szCs w:val="30"/>
          <w:lang w:val="en-US" w:eastAsia="zh-CN"/>
        </w:rPr>
        <w:t>区</w:t>
      </w:r>
      <w:r>
        <w:rPr>
          <w:rFonts w:hint="eastAsia" w:ascii="宋体" w:hAnsi="宋体" w:eastAsia="宋体" w:cs="宋体"/>
          <w:b w:val="0"/>
          <w:bCs w:val="0"/>
          <w:color w:val="auto"/>
          <w:sz w:val="30"/>
          <w:szCs w:val="30"/>
          <w:lang w:val="en-US" w:eastAsia="zh-CN"/>
        </w:rPr>
        <w:t>水利局及各乡镇、街道直接向财政部门申报预算</w:t>
      </w:r>
      <w:r>
        <w:rPr>
          <w:rFonts w:hint="eastAsia" w:ascii="宋体" w:hAnsi="宋体" w:cs="宋体"/>
          <w:b w:val="0"/>
          <w:bCs w:val="0"/>
          <w:color w:val="auto"/>
          <w:sz w:val="30"/>
          <w:szCs w:val="30"/>
          <w:lang w:val="en-US" w:eastAsia="zh-CN"/>
        </w:rPr>
        <w:t>，并上报区人大审定</w:t>
      </w:r>
      <w:r>
        <w:rPr>
          <w:rFonts w:hint="eastAsia" w:ascii="宋体" w:hAnsi="宋体" w:eastAsia="宋体" w:cs="宋体"/>
          <w:b w:val="0"/>
          <w:bCs w:val="0"/>
          <w:color w:val="auto"/>
          <w:sz w:val="30"/>
          <w:szCs w:val="30"/>
          <w:lang w:val="en-US" w:eastAsia="zh-CN"/>
        </w:rPr>
        <w:t>，救灾资金从财政直拨各单位。</w:t>
      </w:r>
    </w:p>
    <w:p>
      <w:pPr>
        <w:pStyle w:val="2"/>
        <w:numPr>
          <w:ilvl w:val="0"/>
          <w:numId w:val="0"/>
        </w:numPr>
        <w:ind w:left="630" w:leftChars="0"/>
        <w:rPr>
          <w:rFonts w:hint="eastAsia" w:ascii="宋体" w:hAnsi="宋体" w:eastAsia="宋体" w:cs="宋体"/>
          <w:b/>
          <w:kern w:val="0"/>
          <w:sz w:val="30"/>
          <w:szCs w:val="30"/>
        </w:rPr>
      </w:pPr>
      <w:r>
        <w:rPr>
          <w:rFonts w:hint="eastAsia" w:ascii="宋体" w:hAnsi="宋体" w:cs="宋体"/>
          <w:b/>
          <w:kern w:val="0"/>
          <w:sz w:val="30"/>
          <w:szCs w:val="30"/>
          <w:lang w:val="en-US" w:eastAsia="zh-CN"/>
        </w:rPr>
        <w:t>3.</w:t>
      </w:r>
      <w:r>
        <w:rPr>
          <w:rFonts w:hint="eastAsia" w:ascii="宋体" w:hAnsi="宋体" w:cs="宋体"/>
          <w:b/>
          <w:kern w:val="0"/>
          <w:sz w:val="30"/>
          <w:szCs w:val="30"/>
          <w:lang w:eastAsia="zh-CN"/>
        </w:rPr>
        <w:t>跨年度</w:t>
      </w:r>
      <w:r>
        <w:rPr>
          <w:rFonts w:hint="eastAsia" w:ascii="宋体" w:hAnsi="宋体" w:eastAsia="宋体" w:cs="宋体"/>
          <w:b/>
          <w:kern w:val="0"/>
          <w:sz w:val="30"/>
          <w:szCs w:val="30"/>
        </w:rPr>
        <w:t>报账</w:t>
      </w:r>
    </w:p>
    <w:p>
      <w:pPr>
        <w:ind w:firstLine="600" w:firstLineChars="200"/>
        <w:rPr>
          <w:rFonts w:hint="eastAsia" w:ascii="宋体" w:hAnsi="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2020.9.30.9#支付百日行动租车费45000元，合同</w:t>
      </w:r>
      <w:r>
        <w:rPr>
          <w:rFonts w:hint="eastAsia" w:ascii="宋体" w:hAnsi="宋体" w:cs="宋体"/>
          <w:b w:val="0"/>
          <w:bCs w:val="0"/>
          <w:color w:val="auto"/>
          <w:sz w:val="30"/>
          <w:szCs w:val="30"/>
          <w:lang w:val="en-US" w:eastAsia="zh-CN"/>
        </w:rPr>
        <w:t>约定的用车时间为</w:t>
      </w:r>
      <w:r>
        <w:rPr>
          <w:rFonts w:hint="eastAsia" w:ascii="宋体" w:hAnsi="宋体" w:eastAsia="宋体" w:cs="宋体"/>
          <w:b w:val="0"/>
          <w:bCs w:val="0"/>
          <w:color w:val="auto"/>
          <w:sz w:val="30"/>
          <w:szCs w:val="30"/>
          <w:lang w:val="en-US" w:eastAsia="zh-CN"/>
        </w:rPr>
        <w:t>2019年5月</w:t>
      </w:r>
      <w:r>
        <w:rPr>
          <w:rFonts w:hint="eastAsia" w:ascii="宋体" w:hAnsi="宋体" w:cs="宋体"/>
          <w:b w:val="0"/>
          <w:bCs w:val="0"/>
          <w:color w:val="auto"/>
          <w:sz w:val="30"/>
          <w:szCs w:val="30"/>
          <w:lang w:val="en-US" w:eastAsia="zh-CN"/>
        </w:rPr>
        <w:t>20日-8月20日</w:t>
      </w:r>
      <w:r>
        <w:rPr>
          <w:rFonts w:hint="eastAsia" w:ascii="宋体" w:hAnsi="宋体" w:eastAsia="宋体" w:cs="宋体"/>
          <w:b w:val="0"/>
          <w:bCs w:val="0"/>
          <w:color w:val="auto"/>
          <w:sz w:val="30"/>
          <w:szCs w:val="30"/>
          <w:lang w:val="en-US" w:eastAsia="zh-CN"/>
        </w:rPr>
        <w:t>的，2020年9月报销2019年5月的费用，跨年</w:t>
      </w:r>
      <w:r>
        <w:rPr>
          <w:rFonts w:hint="eastAsia" w:ascii="宋体" w:hAnsi="宋体" w:cs="宋体"/>
          <w:b w:val="0"/>
          <w:bCs w:val="0"/>
          <w:color w:val="auto"/>
          <w:sz w:val="30"/>
          <w:szCs w:val="30"/>
          <w:lang w:val="en-US" w:eastAsia="zh-CN"/>
        </w:rPr>
        <w:t>度</w:t>
      </w:r>
      <w:r>
        <w:rPr>
          <w:rFonts w:hint="eastAsia" w:ascii="宋体" w:hAnsi="宋体" w:eastAsia="宋体" w:cs="宋体"/>
          <w:b w:val="0"/>
          <w:bCs w:val="0"/>
          <w:color w:val="auto"/>
          <w:sz w:val="30"/>
          <w:szCs w:val="30"/>
          <w:lang w:val="en-US" w:eastAsia="zh-CN"/>
        </w:rPr>
        <w:t>报账</w:t>
      </w:r>
      <w:r>
        <w:rPr>
          <w:rFonts w:hint="eastAsia" w:ascii="宋体" w:hAnsi="宋体" w:cs="宋体"/>
          <w:b w:val="0"/>
          <w:bCs w:val="0"/>
          <w:color w:val="auto"/>
          <w:sz w:val="30"/>
          <w:szCs w:val="30"/>
          <w:lang w:val="en-US" w:eastAsia="zh-CN"/>
        </w:rPr>
        <w:t>。</w:t>
      </w:r>
    </w:p>
    <w:p>
      <w:pPr>
        <w:ind w:firstLine="600" w:firstLineChars="200"/>
        <w:rPr>
          <w:rFonts w:hint="eastAsia" w:ascii="宋体" w:hAnsi="宋体" w:eastAsia="宋体" w:cs="宋体"/>
          <w:b/>
          <w:kern w:val="0"/>
          <w:sz w:val="30"/>
          <w:szCs w:val="30"/>
        </w:rPr>
      </w:pPr>
      <w:r>
        <w:rPr>
          <w:rFonts w:hint="eastAsia" w:ascii="宋体" w:hAnsi="宋体" w:cs="宋体"/>
          <w:b w:val="0"/>
          <w:bCs w:val="0"/>
          <w:color w:val="auto"/>
          <w:sz w:val="30"/>
          <w:szCs w:val="30"/>
          <w:lang w:val="en-US" w:eastAsia="zh-CN"/>
        </w:rPr>
        <w:t>评价人员认为：单位应按照</w:t>
      </w:r>
      <w:r>
        <w:rPr>
          <w:rFonts w:hint="eastAsia" w:ascii="宋体" w:hAnsi="宋体" w:eastAsia="宋体" w:cs="宋体"/>
          <w:b w:val="0"/>
          <w:bCs w:val="0"/>
          <w:color w:val="auto"/>
          <w:sz w:val="30"/>
          <w:szCs w:val="30"/>
          <w:lang w:val="en-US" w:eastAsia="zh-CN"/>
        </w:rPr>
        <w:t>《</w:t>
      </w:r>
      <w:r>
        <w:rPr>
          <w:rFonts w:hint="eastAsia" w:ascii="宋体" w:hAnsi="宋体" w:cs="宋体"/>
          <w:b w:val="0"/>
          <w:bCs w:val="0"/>
          <w:color w:val="auto"/>
          <w:sz w:val="30"/>
          <w:szCs w:val="30"/>
          <w:lang w:val="en-US" w:eastAsia="zh-CN"/>
        </w:rPr>
        <w:t>中华人民共和国</w:t>
      </w:r>
      <w:r>
        <w:rPr>
          <w:rFonts w:hint="eastAsia" w:ascii="宋体" w:hAnsi="宋体" w:eastAsia="宋体" w:cs="宋体"/>
          <w:b w:val="0"/>
          <w:bCs w:val="0"/>
          <w:color w:val="auto"/>
          <w:sz w:val="30"/>
          <w:szCs w:val="30"/>
          <w:lang w:val="en-US" w:eastAsia="zh-CN"/>
        </w:rPr>
        <w:t>会计法》的有关规定</w:t>
      </w:r>
      <w:r>
        <w:rPr>
          <w:rFonts w:hint="eastAsia" w:ascii="宋体" w:hAnsi="宋体" w:cs="宋体"/>
          <w:b w:val="0"/>
          <w:bCs w:val="0"/>
          <w:color w:val="auto"/>
          <w:sz w:val="30"/>
          <w:szCs w:val="30"/>
          <w:lang w:val="en-US" w:eastAsia="zh-CN"/>
        </w:rPr>
        <w:t>，及时报账，尽量避免跨年度报账，以确保项目资金的时效性</w:t>
      </w:r>
      <w:r>
        <w:rPr>
          <w:rFonts w:hint="eastAsia" w:ascii="宋体" w:hAnsi="宋体" w:eastAsia="宋体" w:cs="宋体"/>
          <w:b w:val="0"/>
          <w:bCs w:val="0"/>
          <w:color w:val="auto"/>
          <w:sz w:val="30"/>
          <w:szCs w:val="30"/>
          <w:lang w:val="en-US" w:eastAsia="zh-CN"/>
        </w:rPr>
        <w:t>。</w:t>
      </w:r>
    </w:p>
    <w:p>
      <w:pPr>
        <w:pStyle w:val="2"/>
        <w:numPr>
          <w:ilvl w:val="0"/>
          <w:numId w:val="0"/>
        </w:numPr>
        <w:ind w:left="630" w:leftChars="0"/>
        <w:rPr>
          <w:rFonts w:hint="eastAsia" w:ascii="宋体" w:hAnsi="宋体" w:eastAsia="宋体" w:cs="宋体"/>
          <w:b/>
          <w:kern w:val="0"/>
          <w:sz w:val="30"/>
          <w:szCs w:val="30"/>
        </w:rPr>
      </w:pPr>
      <w:r>
        <w:rPr>
          <w:rFonts w:hint="eastAsia" w:ascii="宋体" w:hAnsi="宋体" w:cs="宋体"/>
          <w:b/>
          <w:bCs/>
          <w:kern w:val="0"/>
          <w:sz w:val="30"/>
          <w:szCs w:val="30"/>
          <w:lang w:val="en-US" w:eastAsia="zh-CN"/>
        </w:rPr>
        <w:t>4.</w:t>
      </w:r>
      <w:r>
        <w:rPr>
          <w:rFonts w:hint="eastAsia" w:ascii="宋体" w:hAnsi="宋体" w:eastAsia="宋体" w:cs="宋体"/>
          <w:b/>
          <w:bCs/>
          <w:kern w:val="0"/>
          <w:sz w:val="30"/>
          <w:szCs w:val="30"/>
          <w:lang w:val="en-US" w:eastAsia="zh-CN"/>
        </w:rPr>
        <w:t>使用税务局代开发票报销个人劳务费，</w:t>
      </w:r>
      <w:r>
        <w:rPr>
          <w:rFonts w:hint="eastAsia" w:ascii="宋体" w:hAnsi="宋体" w:eastAsia="宋体" w:cs="宋体"/>
          <w:b/>
          <w:bCs/>
          <w:kern w:val="0"/>
          <w:sz w:val="30"/>
          <w:szCs w:val="30"/>
        </w:rPr>
        <w:t>未代扣代缴个人所得税。</w:t>
      </w:r>
    </w:p>
    <w:p>
      <w:pPr>
        <w:ind w:firstLine="600" w:firstLineChars="200"/>
        <w:rPr>
          <w:rFonts w:hint="eastAsia" w:ascii="宋体" w:hAnsi="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2020.9.31.3#支付百日行动专家费228000元，用长沙市望城区税务局代开发票</w:t>
      </w:r>
      <w:r>
        <w:rPr>
          <w:rFonts w:hint="eastAsia" w:ascii="宋体" w:hAnsi="宋体" w:cs="宋体"/>
          <w:b w:val="0"/>
          <w:bCs w:val="0"/>
          <w:color w:val="auto"/>
          <w:sz w:val="30"/>
          <w:szCs w:val="30"/>
          <w:lang w:val="en-US" w:eastAsia="zh-CN"/>
        </w:rPr>
        <w:t>支付专家</w:t>
      </w:r>
      <w:r>
        <w:rPr>
          <w:rFonts w:hint="eastAsia" w:ascii="宋体" w:hAnsi="宋体" w:eastAsia="宋体" w:cs="宋体"/>
          <w:b w:val="0"/>
          <w:bCs w:val="0"/>
          <w:color w:val="auto"/>
          <w:sz w:val="30"/>
          <w:szCs w:val="30"/>
          <w:lang w:val="en-US" w:eastAsia="zh-CN"/>
        </w:rPr>
        <w:t>个人劳务费</w:t>
      </w:r>
      <w:r>
        <w:rPr>
          <w:rFonts w:hint="eastAsia" w:ascii="宋体" w:hAnsi="宋体" w:cs="宋体"/>
          <w:b w:val="0"/>
          <w:bCs w:val="0"/>
          <w:color w:val="auto"/>
          <w:sz w:val="30"/>
          <w:szCs w:val="30"/>
          <w:lang w:val="en-US" w:eastAsia="zh-CN"/>
        </w:rPr>
        <w:t>，</w:t>
      </w:r>
      <w:r>
        <w:rPr>
          <w:rFonts w:hint="eastAsia" w:ascii="宋体" w:hAnsi="宋体" w:eastAsia="宋体" w:cs="宋体"/>
          <w:b w:val="0"/>
          <w:bCs w:val="0"/>
          <w:color w:val="auto"/>
          <w:sz w:val="30"/>
          <w:szCs w:val="30"/>
          <w:lang w:val="en-US" w:eastAsia="zh-CN"/>
        </w:rPr>
        <w:t>仅按照支付劳务费金额的1%代扣增值税及城建税</w:t>
      </w:r>
      <w:r>
        <w:rPr>
          <w:rFonts w:hint="eastAsia" w:ascii="宋体" w:hAnsi="宋体" w:cs="宋体"/>
          <w:b w:val="0"/>
          <w:bCs w:val="0"/>
          <w:color w:val="auto"/>
          <w:sz w:val="30"/>
          <w:szCs w:val="30"/>
          <w:lang w:val="en-US" w:eastAsia="zh-CN"/>
        </w:rPr>
        <w:t>，未代扣代缴个人所得税。</w:t>
      </w:r>
    </w:p>
    <w:p>
      <w:pPr>
        <w:ind w:firstLine="600" w:firstLineChars="200"/>
        <w:rPr>
          <w:rFonts w:hint="eastAsia" w:ascii="宋体" w:hAnsi="宋体" w:eastAsia="宋体" w:cs="宋体"/>
          <w:b/>
          <w:kern w:val="0"/>
          <w:sz w:val="30"/>
          <w:szCs w:val="30"/>
        </w:rPr>
      </w:pPr>
      <w:r>
        <w:rPr>
          <w:rFonts w:hint="eastAsia" w:ascii="宋体" w:hAnsi="宋体" w:cs="宋体"/>
          <w:b w:val="0"/>
          <w:bCs w:val="0"/>
          <w:color w:val="auto"/>
          <w:sz w:val="30"/>
          <w:szCs w:val="30"/>
          <w:lang w:val="en-US" w:eastAsia="zh-CN"/>
        </w:rPr>
        <w:t>评价人员认为：个人所得税属于支付个人收入单位应履行的法定代扣义务，单位在支付个人劳务收入的同时，均应</w:t>
      </w:r>
      <w:r>
        <w:rPr>
          <w:rFonts w:hint="eastAsia" w:ascii="宋体" w:hAnsi="宋体" w:eastAsia="宋体" w:cs="宋体"/>
          <w:b w:val="0"/>
          <w:bCs w:val="0"/>
          <w:color w:val="auto"/>
          <w:sz w:val="30"/>
          <w:szCs w:val="30"/>
          <w:lang w:val="en-US" w:eastAsia="zh-CN"/>
        </w:rPr>
        <w:t>按照《</w:t>
      </w:r>
      <w:r>
        <w:rPr>
          <w:rFonts w:hint="eastAsia" w:ascii="宋体" w:hAnsi="宋体" w:cs="宋体"/>
          <w:b w:val="0"/>
          <w:bCs w:val="0"/>
          <w:color w:val="auto"/>
          <w:sz w:val="30"/>
          <w:szCs w:val="30"/>
          <w:lang w:val="en-US" w:eastAsia="zh-CN"/>
        </w:rPr>
        <w:t>中华人民共和国</w:t>
      </w:r>
      <w:r>
        <w:rPr>
          <w:rFonts w:hint="eastAsia" w:ascii="宋体" w:hAnsi="宋体" w:eastAsia="宋体" w:cs="宋体"/>
          <w:b w:val="0"/>
          <w:bCs w:val="0"/>
          <w:color w:val="auto"/>
          <w:sz w:val="30"/>
          <w:szCs w:val="30"/>
          <w:lang w:val="en-US" w:eastAsia="zh-CN"/>
        </w:rPr>
        <w:t>个人所得税法》规定</w:t>
      </w:r>
      <w:r>
        <w:rPr>
          <w:rFonts w:hint="eastAsia" w:ascii="宋体" w:hAnsi="宋体" w:cs="宋体"/>
          <w:b w:val="0"/>
          <w:bCs w:val="0"/>
          <w:color w:val="auto"/>
          <w:sz w:val="30"/>
          <w:szCs w:val="30"/>
          <w:lang w:val="en-US" w:eastAsia="zh-CN"/>
        </w:rPr>
        <w:t>的</w:t>
      </w:r>
      <w:r>
        <w:rPr>
          <w:rFonts w:hint="eastAsia" w:ascii="宋体" w:hAnsi="宋体" w:eastAsia="宋体" w:cs="宋体"/>
          <w:b w:val="0"/>
          <w:bCs w:val="0"/>
          <w:color w:val="auto"/>
          <w:sz w:val="30"/>
          <w:szCs w:val="30"/>
          <w:lang w:val="en-US" w:eastAsia="zh-CN"/>
        </w:rPr>
        <w:t>税率代扣专家劳务费的个人所得税</w:t>
      </w:r>
      <w:r>
        <w:rPr>
          <w:rFonts w:hint="eastAsia" w:ascii="宋体" w:hAnsi="宋体" w:cs="宋体"/>
          <w:b w:val="0"/>
          <w:bCs w:val="0"/>
          <w:color w:val="auto"/>
          <w:sz w:val="30"/>
          <w:szCs w:val="30"/>
          <w:lang w:val="en-US" w:eastAsia="zh-CN"/>
        </w:rPr>
        <w:t>，以避免偷漏税情况的出现。</w:t>
      </w:r>
    </w:p>
    <w:p>
      <w:pPr>
        <w:ind w:firstLine="602" w:firstLineChars="200"/>
        <w:rPr>
          <w:rFonts w:hint="eastAsia" w:ascii="宋体" w:hAnsi="宋体" w:eastAsia="宋体" w:cs="宋体"/>
          <w:b/>
          <w:bCs/>
          <w:kern w:val="0"/>
          <w:sz w:val="30"/>
          <w:szCs w:val="30"/>
          <w:lang w:val="en-US" w:eastAsia="zh-CN" w:bidi="ar-SA"/>
        </w:rPr>
      </w:pPr>
      <w:r>
        <w:rPr>
          <w:rFonts w:hint="eastAsia" w:ascii="宋体" w:hAnsi="宋体" w:cs="宋体"/>
          <w:b/>
          <w:bCs/>
          <w:kern w:val="0"/>
          <w:sz w:val="30"/>
          <w:szCs w:val="30"/>
          <w:lang w:val="en-US" w:eastAsia="zh-CN" w:bidi="ar-SA"/>
        </w:rPr>
        <w:t>5.</w:t>
      </w:r>
      <w:r>
        <w:rPr>
          <w:rFonts w:hint="eastAsia" w:ascii="宋体" w:hAnsi="宋体" w:eastAsia="宋体" w:cs="宋体"/>
          <w:b/>
          <w:bCs/>
          <w:kern w:val="0"/>
          <w:sz w:val="30"/>
          <w:szCs w:val="30"/>
          <w:lang w:val="en-US" w:eastAsia="zh-CN" w:bidi="ar-SA"/>
        </w:rPr>
        <w:t>发放</w:t>
      </w:r>
      <w:r>
        <w:rPr>
          <w:rFonts w:hint="eastAsia" w:ascii="宋体" w:hAnsi="宋体" w:cs="宋体"/>
          <w:b/>
          <w:bCs/>
          <w:kern w:val="0"/>
          <w:sz w:val="30"/>
          <w:szCs w:val="30"/>
          <w:lang w:val="en-US" w:eastAsia="zh-CN" w:bidi="ar-SA"/>
        </w:rPr>
        <w:t>安全奖的程序不到位</w:t>
      </w:r>
    </w:p>
    <w:p>
      <w:pPr>
        <w:ind w:firstLine="600" w:firstLineChars="200"/>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2020.9.30.10#在项目支出中发放安全奖169000元，附安全奖发放的会议记录及云溪区安全生产委员会岳云安（2020）9号关于《关于2019年度区长安全生产奖的通报》，其中一等奖12名，二等奖29名，三等奖11名，但通报中并未明确奖金的具体金额，实际发放分别按照5000元、3000元、2000元的标准发放，发放标准缺乏依据，</w:t>
      </w:r>
      <w:r>
        <w:rPr>
          <w:rFonts w:hint="eastAsia" w:ascii="宋体" w:hAnsi="宋体" w:cs="宋体"/>
          <w:b w:val="0"/>
          <w:bCs w:val="0"/>
          <w:color w:val="auto"/>
          <w:sz w:val="30"/>
          <w:szCs w:val="30"/>
          <w:lang w:val="en-US" w:eastAsia="zh-CN"/>
        </w:rPr>
        <w:t>经审查发现，一等奖、二等奖主要集中在应急局局领导、六个部门主要负责人及分管领导丁向阳等人、以及股室负责人，对基层第一线的安全工作人员倾斜度不够</w:t>
      </w:r>
      <w:r>
        <w:rPr>
          <w:rFonts w:hint="eastAsia" w:ascii="宋体" w:hAnsi="宋体" w:eastAsia="宋体" w:cs="宋体"/>
          <w:b w:val="0"/>
          <w:bCs w:val="0"/>
          <w:color w:val="auto"/>
          <w:sz w:val="30"/>
          <w:szCs w:val="30"/>
          <w:lang w:val="en-US" w:eastAsia="zh-CN"/>
        </w:rPr>
        <w:t>。</w:t>
      </w:r>
    </w:p>
    <w:p>
      <w:pPr>
        <w:pStyle w:val="2"/>
        <w:ind w:left="0" w:leftChars="0" w:firstLine="600" w:firstLineChars="200"/>
        <w:rPr>
          <w:rFonts w:hint="eastAsia"/>
          <w:lang w:val="en-US" w:eastAsia="zh-CN"/>
        </w:rPr>
      </w:pPr>
      <w:r>
        <w:rPr>
          <w:rFonts w:hint="eastAsia" w:ascii="宋体" w:hAnsi="宋体" w:cs="宋体"/>
          <w:b w:val="0"/>
          <w:bCs w:val="0"/>
          <w:color w:val="auto"/>
          <w:sz w:val="30"/>
          <w:szCs w:val="30"/>
          <w:lang w:val="en-US" w:eastAsia="zh-CN"/>
        </w:rPr>
        <w:t>评价人员认为：</w:t>
      </w:r>
      <w:r>
        <w:rPr>
          <w:rFonts w:hint="eastAsia" w:ascii="宋体" w:hAnsi="宋体" w:eastAsia="宋体" w:cs="宋体"/>
          <w:b w:val="0"/>
          <w:bCs w:val="0"/>
          <w:color w:val="auto"/>
          <w:sz w:val="30"/>
          <w:szCs w:val="30"/>
          <w:lang w:val="en-US" w:eastAsia="zh-CN"/>
        </w:rPr>
        <w:t>安全奖</w:t>
      </w:r>
      <w:r>
        <w:rPr>
          <w:rFonts w:hint="eastAsia" w:ascii="宋体" w:hAnsi="宋体" w:cs="宋体"/>
          <w:b w:val="0"/>
          <w:bCs w:val="0"/>
          <w:color w:val="auto"/>
          <w:sz w:val="30"/>
          <w:szCs w:val="30"/>
          <w:lang w:val="en-US" w:eastAsia="zh-CN"/>
        </w:rPr>
        <w:t>应该向基层的安全工作人员倾斜，对其中有突出贡献的人员进行奖励，降低管理人员的的奖励额度，同时应该将奖励方案</w:t>
      </w:r>
      <w:r>
        <w:rPr>
          <w:rFonts w:hint="eastAsia" w:ascii="宋体" w:hAnsi="宋体" w:eastAsia="宋体" w:cs="宋体"/>
          <w:b w:val="0"/>
          <w:bCs w:val="0"/>
          <w:color w:val="auto"/>
          <w:sz w:val="30"/>
          <w:szCs w:val="30"/>
          <w:lang w:val="en-US" w:eastAsia="zh-CN"/>
        </w:rPr>
        <w:t>上报区纪委</w:t>
      </w:r>
      <w:r>
        <w:rPr>
          <w:rFonts w:hint="eastAsia" w:ascii="宋体" w:hAnsi="宋体" w:cs="宋体"/>
          <w:b w:val="0"/>
          <w:bCs w:val="0"/>
          <w:color w:val="auto"/>
          <w:sz w:val="30"/>
          <w:szCs w:val="30"/>
          <w:lang w:val="en-US" w:eastAsia="zh-CN"/>
        </w:rPr>
        <w:t>审批</w:t>
      </w:r>
      <w:r>
        <w:rPr>
          <w:rFonts w:hint="eastAsia" w:ascii="宋体" w:hAnsi="宋体" w:eastAsia="宋体" w:cs="宋体"/>
          <w:b w:val="0"/>
          <w:bCs w:val="0"/>
          <w:color w:val="auto"/>
          <w:sz w:val="30"/>
          <w:szCs w:val="30"/>
          <w:lang w:val="en-US" w:eastAsia="zh-CN"/>
        </w:rPr>
        <w:t>和区人社部门</w:t>
      </w:r>
      <w:r>
        <w:rPr>
          <w:rFonts w:hint="eastAsia" w:ascii="宋体" w:hAnsi="宋体" w:cs="宋体"/>
          <w:b w:val="0"/>
          <w:bCs w:val="0"/>
          <w:color w:val="auto"/>
          <w:sz w:val="30"/>
          <w:szCs w:val="30"/>
          <w:lang w:val="en-US" w:eastAsia="zh-CN"/>
        </w:rPr>
        <w:t>审核</w:t>
      </w:r>
      <w:r>
        <w:rPr>
          <w:rFonts w:hint="eastAsia" w:ascii="宋体" w:hAnsi="宋体" w:eastAsia="宋体" w:cs="宋体"/>
          <w:b w:val="0"/>
          <w:bCs w:val="0"/>
          <w:color w:val="auto"/>
          <w:sz w:val="30"/>
          <w:szCs w:val="30"/>
          <w:lang w:val="en-US" w:eastAsia="zh-CN"/>
        </w:rPr>
        <w:t>备案再发放</w:t>
      </w:r>
      <w:r>
        <w:rPr>
          <w:rFonts w:hint="eastAsia" w:ascii="宋体" w:hAnsi="宋体" w:cs="宋体"/>
          <w:b w:val="0"/>
          <w:bCs w:val="0"/>
          <w:color w:val="auto"/>
          <w:sz w:val="30"/>
          <w:szCs w:val="30"/>
          <w:lang w:val="en-US" w:eastAsia="zh-CN"/>
        </w:rPr>
        <w:t>，以确保合理、合法、公平的使用奖励资金，鼓励一线工作人员的工作积极性。</w:t>
      </w:r>
    </w:p>
    <w:p>
      <w:pPr>
        <w:numPr>
          <w:ilvl w:val="0"/>
          <w:numId w:val="8"/>
        </w:numPr>
        <w:ind w:firstLine="602" w:firstLineChars="200"/>
        <w:rPr>
          <w:rFonts w:hint="eastAsia" w:ascii="宋体" w:hAnsi="宋体" w:eastAsia="宋体" w:cs="宋体"/>
          <w:b/>
          <w:bCs/>
          <w:sz w:val="30"/>
          <w:szCs w:val="30"/>
        </w:rPr>
      </w:pPr>
      <w:r>
        <w:rPr>
          <w:rFonts w:hint="eastAsia" w:ascii="宋体" w:hAnsi="宋体" w:cs="宋体"/>
          <w:b/>
          <w:bCs/>
          <w:sz w:val="30"/>
          <w:szCs w:val="30"/>
          <w:lang w:eastAsia="zh-CN"/>
        </w:rPr>
        <w:t>评价</w:t>
      </w:r>
      <w:r>
        <w:rPr>
          <w:rFonts w:hint="eastAsia" w:ascii="宋体" w:hAnsi="宋体" w:eastAsia="宋体" w:cs="宋体"/>
          <w:b/>
          <w:bCs/>
          <w:sz w:val="30"/>
          <w:szCs w:val="30"/>
        </w:rPr>
        <w:t>建议</w:t>
      </w:r>
    </w:p>
    <w:p>
      <w:pPr>
        <w:numPr>
          <w:ilvl w:val="0"/>
          <w:numId w:val="0"/>
        </w:numPr>
        <w:ind w:firstLine="600" w:firstLineChars="200"/>
        <w:rPr>
          <w:rFonts w:hint="eastAsia" w:ascii="宋体" w:hAnsi="宋体" w:eastAsia="宋体" w:cs="宋体"/>
          <w:b/>
          <w:bCs/>
          <w:sz w:val="30"/>
          <w:szCs w:val="30"/>
          <w:lang w:eastAsia="zh-CN"/>
        </w:rPr>
      </w:pPr>
      <w:r>
        <w:rPr>
          <w:rFonts w:hint="eastAsia" w:ascii="宋体" w:hAnsi="宋体" w:eastAsia="宋体" w:cs="宋体"/>
          <w:sz w:val="30"/>
          <w:szCs w:val="30"/>
        </w:rPr>
        <w:t xml:space="preserve"> </w:t>
      </w:r>
      <w:r>
        <w:rPr>
          <w:rFonts w:hint="eastAsia" w:ascii="宋体" w:hAnsi="宋体" w:eastAsia="宋体" w:cs="宋体"/>
          <w:b/>
          <w:bCs/>
          <w:sz w:val="30"/>
          <w:szCs w:val="30"/>
          <w:lang w:val="en-US" w:eastAsia="zh-CN"/>
        </w:rPr>
        <w:t>1、</w:t>
      </w:r>
      <w:r>
        <w:rPr>
          <w:rFonts w:hint="eastAsia" w:ascii="宋体" w:hAnsi="宋体" w:eastAsia="宋体" w:cs="宋体"/>
          <w:b/>
          <w:bCs/>
          <w:sz w:val="30"/>
          <w:szCs w:val="30"/>
        </w:rPr>
        <w:t>增强预算意识，严格预算支出管理</w:t>
      </w:r>
      <w:r>
        <w:rPr>
          <w:rFonts w:hint="eastAsia" w:ascii="宋体" w:hAnsi="宋体" w:eastAsia="宋体" w:cs="宋体"/>
          <w:b/>
          <w:bCs/>
          <w:sz w:val="30"/>
          <w:szCs w:val="30"/>
          <w:lang w:eastAsia="zh-CN"/>
        </w:rPr>
        <w:t>。</w:t>
      </w:r>
    </w:p>
    <w:p>
      <w:pPr>
        <w:numPr>
          <w:ilvl w:val="0"/>
          <w:numId w:val="0"/>
        </w:numPr>
        <w:ind w:firstLine="600" w:firstLineChars="200"/>
        <w:rPr>
          <w:rFonts w:hint="eastAsia" w:ascii="宋体" w:hAnsi="宋体" w:eastAsia="宋体" w:cs="宋体"/>
          <w:b w:val="0"/>
          <w:bCs w:val="0"/>
          <w:sz w:val="30"/>
          <w:szCs w:val="30"/>
          <w:lang w:val="en-US" w:eastAsia="zh-CN"/>
        </w:rPr>
      </w:pPr>
      <w:r>
        <w:rPr>
          <w:rFonts w:hint="eastAsia" w:ascii="宋体" w:hAnsi="宋体" w:eastAsia="宋体" w:cs="宋体"/>
          <w:sz w:val="30"/>
          <w:szCs w:val="30"/>
        </w:rPr>
        <w:t>按照预算科目和项目资金的规定使用财政资金，保障部门支出的规范性、制度化。</w:t>
      </w:r>
      <w:r>
        <w:rPr>
          <w:rFonts w:hint="eastAsia" w:ascii="宋体" w:hAnsi="宋体" w:eastAsia="宋体" w:cs="宋体"/>
          <w:b w:val="0"/>
          <w:bCs w:val="0"/>
          <w:sz w:val="30"/>
          <w:szCs w:val="30"/>
          <w:lang w:val="en-US" w:eastAsia="zh-CN"/>
        </w:rPr>
        <w:t>因特殊情况确需变更支出金额或调整支出预算科目的，应及时报财政批准后方可执行。</w:t>
      </w:r>
    </w:p>
    <w:p>
      <w:pPr>
        <w:numPr>
          <w:ilvl w:val="0"/>
          <w:numId w:val="0"/>
        </w:numPr>
        <w:ind w:left="559" w:leftChars="266" w:firstLine="0" w:firstLineChars="0"/>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2、增强预算申请准确性，保证预算资金在预算科目范围内使用。</w:t>
      </w:r>
    </w:p>
    <w:p>
      <w:pPr>
        <w:numPr>
          <w:ilvl w:val="0"/>
          <w:numId w:val="0"/>
        </w:numPr>
        <w:ind w:firstLine="600" w:firstLineChars="200"/>
        <w:rPr>
          <w:rFonts w:hint="eastAsia" w:ascii="宋体" w:hAnsi="宋体" w:eastAsia="宋体" w:cs="宋体"/>
          <w:color w:val="0070C0"/>
          <w:sz w:val="30"/>
          <w:szCs w:val="30"/>
          <w:lang w:val="en-US" w:eastAsia="zh-CN"/>
        </w:rPr>
      </w:pPr>
      <w:r>
        <w:rPr>
          <w:rFonts w:hint="eastAsia" w:ascii="宋体" w:hAnsi="宋体" w:eastAsia="宋体" w:cs="宋体"/>
          <w:b w:val="0"/>
          <w:bCs w:val="0"/>
          <w:color w:val="auto"/>
          <w:sz w:val="30"/>
          <w:szCs w:val="30"/>
          <w:lang w:val="en-US" w:eastAsia="zh-CN"/>
        </w:rPr>
        <w:t>预算申请部门应认真做好预算申请工作，做到目标准确，资金申请与当年实际情况相吻合，使预算与实际使用基本保持一致。</w:t>
      </w:r>
      <w:r>
        <w:rPr>
          <w:rFonts w:hint="eastAsia" w:ascii="宋体" w:hAnsi="宋体" w:eastAsia="宋体" w:cs="宋体"/>
          <w:sz w:val="30"/>
          <w:szCs w:val="30"/>
          <w:lang w:val="en-US" w:eastAsia="zh-CN"/>
        </w:rPr>
        <w:t>根据预算资金的</w:t>
      </w:r>
      <w:r>
        <w:rPr>
          <w:rFonts w:hint="eastAsia" w:ascii="宋体" w:hAnsi="宋体" w:eastAsia="宋体" w:cs="宋体"/>
          <w:sz w:val="30"/>
          <w:szCs w:val="30"/>
          <w:lang w:eastAsia="zh-CN"/>
        </w:rPr>
        <w:t>开支范围支付</w:t>
      </w:r>
      <w:r>
        <w:rPr>
          <w:rFonts w:hint="eastAsia" w:ascii="宋体" w:hAnsi="宋体" w:eastAsia="宋体" w:cs="宋体"/>
          <w:sz w:val="30"/>
          <w:szCs w:val="30"/>
          <w:lang w:val="en-US" w:eastAsia="zh-CN"/>
        </w:rPr>
        <w:t>各项经费。</w:t>
      </w:r>
    </w:p>
    <w:p>
      <w:pPr>
        <w:numPr>
          <w:ilvl w:val="0"/>
          <w:numId w:val="0"/>
        </w:numPr>
        <w:ind w:firstLine="602" w:firstLineChars="200"/>
        <w:rPr>
          <w:rFonts w:hint="eastAsia" w:ascii="宋体" w:hAnsi="宋体" w:eastAsia="宋体" w:cs="宋体"/>
          <w:b w:val="0"/>
          <w:kern w:val="2"/>
          <w:sz w:val="30"/>
          <w:szCs w:val="30"/>
          <w:highlight w:val="none"/>
          <w:lang w:val="en-US" w:eastAsia="zh-CN" w:bidi="ar-SA"/>
        </w:rPr>
      </w:pPr>
      <w:r>
        <w:rPr>
          <w:rFonts w:hint="eastAsia" w:ascii="宋体" w:hAnsi="宋体" w:eastAsia="宋体" w:cs="宋体"/>
          <w:b/>
          <w:bCs/>
          <w:color w:val="auto"/>
          <w:sz w:val="30"/>
          <w:szCs w:val="30"/>
          <w:lang w:val="en-US" w:eastAsia="zh-CN"/>
        </w:rPr>
        <w:t>3、严格履行政府采购程序，以规避政策法规风险。</w:t>
      </w:r>
    </w:p>
    <w:p>
      <w:pPr>
        <w:numPr>
          <w:ilvl w:val="0"/>
          <w:numId w:val="0"/>
        </w:numPr>
        <w:ind w:firstLine="600" w:firstLineChars="200"/>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对政府集中采购目录内，且采购金额达到采购限额以上的采购项目，应严格按照政府采购有关制度的规定进行政府采购；对未在政府采购目录内或者未到达政府采购限额的采购项目，应采取分散采购或者通过电子卖场进行采购。</w:t>
      </w:r>
    </w:p>
    <w:p>
      <w:pPr>
        <w:pStyle w:val="2"/>
        <w:rPr>
          <w:rFonts w:hint="eastAsia"/>
          <w:lang w:val="en-US" w:eastAsia="zh-CN"/>
        </w:rPr>
      </w:pPr>
    </w:p>
    <w:p>
      <w:pPr>
        <w:pStyle w:val="2"/>
        <w:ind w:left="0" w:leftChars="0" w:firstLine="602" w:firstLineChars="200"/>
        <w:rPr>
          <w:rFonts w:hint="eastAsia" w:ascii="宋体" w:hAnsi="宋体" w:eastAsia="宋体" w:cs="宋体"/>
          <w:b/>
          <w:bCs/>
          <w:color w:val="auto"/>
          <w:kern w:val="2"/>
          <w:sz w:val="30"/>
          <w:szCs w:val="30"/>
          <w:lang w:val="en-US" w:eastAsia="zh-CN" w:bidi="ar-SA"/>
        </w:rPr>
      </w:pPr>
      <w:r>
        <w:rPr>
          <w:rFonts w:hint="eastAsia" w:ascii="宋体" w:hAnsi="宋体" w:eastAsia="宋体" w:cs="宋体"/>
          <w:b/>
          <w:bCs/>
          <w:color w:val="auto"/>
          <w:kern w:val="2"/>
          <w:sz w:val="30"/>
          <w:szCs w:val="30"/>
          <w:lang w:val="en-US" w:eastAsia="zh-CN" w:bidi="ar-SA"/>
        </w:rPr>
        <w:t>4、严格执行国家规定的各项财经政策法规，严格把关报账程序。</w:t>
      </w:r>
    </w:p>
    <w:p>
      <w:pPr>
        <w:pStyle w:val="2"/>
        <w:ind w:left="0" w:leftChars="0" w:firstLine="600" w:firstLineChars="200"/>
        <w:rPr>
          <w:rFonts w:hint="eastAsia" w:ascii="宋体" w:hAnsi="宋体" w:eastAsia="宋体" w:cs="宋体"/>
          <w:b/>
          <w:bCs/>
          <w:sz w:val="30"/>
          <w:szCs w:val="30"/>
        </w:rPr>
      </w:pPr>
      <w:r>
        <w:rPr>
          <w:rFonts w:hint="eastAsia" w:ascii="宋体" w:hAnsi="宋体" w:eastAsia="宋体" w:cs="宋体"/>
          <w:b w:val="0"/>
          <w:bCs w:val="0"/>
          <w:color w:val="auto"/>
          <w:kern w:val="2"/>
          <w:sz w:val="30"/>
          <w:szCs w:val="30"/>
          <w:lang w:val="en-US" w:eastAsia="zh-CN" w:bidi="ar-SA"/>
        </w:rPr>
        <w:t>报账员在支出报账的过程中应严格审核，对程序不合规、票据有疑问的问题应坚决制止，对资金的报账过程中更加应加强审核，严格把关。</w:t>
      </w:r>
    </w:p>
    <w:p>
      <w:pPr>
        <w:ind w:firstLine="420" w:firstLineChars="0"/>
        <w:rPr>
          <w:rFonts w:hint="eastAsia" w:ascii="宋体" w:hAnsi="宋体" w:eastAsia="宋体" w:cs="宋体"/>
          <w:b/>
          <w:sz w:val="30"/>
          <w:szCs w:val="30"/>
        </w:rPr>
      </w:pPr>
      <w:r>
        <w:rPr>
          <w:rFonts w:hint="eastAsia" w:ascii="宋体" w:hAnsi="宋体" w:eastAsia="宋体" w:cs="宋体"/>
          <w:sz w:val="30"/>
          <w:szCs w:val="30"/>
        </w:rPr>
        <w:t xml:space="preserve"> </w:t>
      </w:r>
      <w:r>
        <w:rPr>
          <w:rFonts w:hint="eastAsia" w:ascii="宋体" w:hAnsi="宋体" w:eastAsia="宋体" w:cs="宋体"/>
          <w:b/>
          <w:sz w:val="30"/>
          <w:szCs w:val="30"/>
        </w:rPr>
        <w:t>八、其他需要说明的问题</w:t>
      </w:r>
    </w:p>
    <w:p>
      <w:pPr>
        <w:ind w:firstLine="600" w:firstLineChars="200"/>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rPr>
        <w:t>调查问卷属于被调查者的主观反馈，问卷措辞可能影响被调查者的回应，问卷题目也无法给出项目全貌，不能完全真实反映本项目实际效果。</w:t>
      </w:r>
    </w:p>
    <w:p>
      <w:pPr>
        <w:spacing w:line="600" w:lineRule="exact"/>
        <w:ind w:firstLine="602" w:firstLineChars="200"/>
        <w:rPr>
          <w:rFonts w:hint="eastAsia" w:ascii="宋体" w:hAnsi="宋体" w:eastAsia="宋体" w:cs="宋体"/>
          <w:color w:val="000000"/>
          <w:sz w:val="30"/>
          <w:szCs w:val="30"/>
        </w:rPr>
      </w:pPr>
      <w:r>
        <w:rPr>
          <w:rFonts w:hint="eastAsia" w:ascii="宋体" w:hAnsi="宋体" w:eastAsia="宋体" w:cs="宋体"/>
          <w:b/>
          <w:bCs/>
          <w:color w:val="000000"/>
          <w:sz w:val="30"/>
          <w:szCs w:val="30"/>
        </w:rPr>
        <w:t>九、审计说明</w:t>
      </w:r>
    </w:p>
    <w:p>
      <w:pPr>
        <w:ind w:firstLine="600" w:firstLineChars="200"/>
        <w:rPr>
          <w:rFonts w:hint="eastAsia" w:ascii="宋体" w:hAnsi="宋体" w:eastAsia="宋体" w:cs="宋体"/>
          <w:color w:val="auto"/>
          <w:sz w:val="30"/>
          <w:szCs w:val="30"/>
        </w:rPr>
      </w:pPr>
      <w:r>
        <w:rPr>
          <w:rFonts w:hint="eastAsia" w:ascii="宋体" w:hAnsi="宋体" w:eastAsia="宋体" w:cs="宋体"/>
          <w:color w:val="000000"/>
          <w:sz w:val="30"/>
          <w:szCs w:val="30"/>
        </w:rPr>
        <w:t xml:space="preserve"> 1、本</w:t>
      </w:r>
      <w:r>
        <w:rPr>
          <w:rFonts w:hint="eastAsia" w:ascii="宋体" w:hAnsi="宋体" w:eastAsia="宋体" w:cs="宋体"/>
          <w:color w:val="auto"/>
          <w:sz w:val="30"/>
          <w:szCs w:val="30"/>
        </w:rPr>
        <w:t>报告数据仅根据</w:t>
      </w:r>
      <w:r>
        <w:rPr>
          <w:rFonts w:hint="eastAsia" w:ascii="宋体" w:hAnsi="宋体" w:eastAsia="宋体" w:cs="宋体"/>
          <w:color w:val="auto"/>
          <w:sz w:val="30"/>
          <w:szCs w:val="30"/>
          <w:lang w:val="en-US" w:eastAsia="zh-CN"/>
        </w:rPr>
        <w:t>区应急管理局</w:t>
      </w:r>
      <w:r>
        <w:rPr>
          <w:rFonts w:hint="eastAsia" w:ascii="宋体" w:hAnsi="宋体" w:eastAsia="宋体" w:cs="宋体"/>
          <w:color w:val="auto"/>
          <w:sz w:val="30"/>
          <w:szCs w:val="30"/>
        </w:rPr>
        <w:t>提供的文件、资料、原始单证、报表、凭证数据及内容进行的绩效评价，绩效评价意见和观点是在现场评价时点数的基础上出具的，不应视作包含绩效评价期间所有业务发生的保证。</w:t>
      </w:r>
    </w:p>
    <w:p>
      <w:pPr>
        <w:rPr>
          <w:rFonts w:hint="eastAsia" w:ascii="宋体" w:hAnsi="宋体" w:eastAsia="宋体" w:cs="宋体"/>
          <w:color w:val="auto"/>
          <w:sz w:val="30"/>
          <w:szCs w:val="30"/>
        </w:rPr>
      </w:pPr>
      <w:r>
        <w:rPr>
          <w:rFonts w:hint="eastAsia" w:ascii="宋体" w:hAnsi="宋体" w:eastAsia="宋体" w:cs="宋体"/>
          <w:color w:val="auto"/>
          <w:sz w:val="30"/>
          <w:szCs w:val="30"/>
        </w:rPr>
        <w:t xml:space="preserve">     2、本报告仅供</w:t>
      </w:r>
      <w:r>
        <w:rPr>
          <w:rFonts w:hint="eastAsia" w:ascii="宋体" w:hAnsi="宋体" w:eastAsia="宋体" w:cs="宋体"/>
          <w:color w:val="auto"/>
          <w:sz w:val="30"/>
          <w:szCs w:val="30"/>
          <w:lang w:val="en-US" w:eastAsia="zh-CN"/>
        </w:rPr>
        <w:t>2020年</w:t>
      </w:r>
      <w:r>
        <w:rPr>
          <w:rFonts w:hint="eastAsia" w:ascii="宋体" w:hAnsi="宋体" w:eastAsia="宋体" w:cs="宋体"/>
          <w:color w:val="auto"/>
          <w:sz w:val="30"/>
          <w:szCs w:val="30"/>
        </w:rPr>
        <w:t>云溪</w:t>
      </w:r>
      <w:r>
        <w:rPr>
          <w:rFonts w:hint="eastAsia" w:ascii="宋体" w:hAnsi="宋体" w:eastAsia="宋体" w:cs="宋体"/>
          <w:color w:val="auto"/>
          <w:sz w:val="30"/>
          <w:szCs w:val="30"/>
          <w:lang w:val="en-US" w:eastAsia="zh-CN"/>
        </w:rPr>
        <w:t>区应急管理局</w:t>
      </w:r>
      <w:r>
        <w:rPr>
          <w:rFonts w:hint="eastAsia" w:ascii="宋体" w:hAnsi="宋体" w:eastAsia="宋体" w:cs="宋体"/>
          <w:color w:val="auto"/>
          <w:sz w:val="30"/>
          <w:szCs w:val="30"/>
          <w:lang w:eastAsia="zh-CN"/>
        </w:rPr>
        <w:t>整体支出</w:t>
      </w:r>
      <w:r>
        <w:rPr>
          <w:rFonts w:hint="eastAsia" w:ascii="宋体" w:hAnsi="宋体" w:eastAsia="宋体" w:cs="宋体"/>
          <w:color w:val="auto"/>
          <w:sz w:val="30"/>
          <w:szCs w:val="30"/>
        </w:rPr>
        <w:t>提供的绩效评价依据，不能作为其他用途。</w:t>
      </w:r>
    </w:p>
    <w:p>
      <w:pPr>
        <w:ind w:firstLine="600" w:firstLineChars="200"/>
        <w:rPr>
          <w:rFonts w:hint="eastAsia" w:ascii="宋体" w:hAnsi="宋体" w:eastAsia="宋体" w:cs="宋体"/>
          <w:sz w:val="30"/>
          <w:szCs w:val="30"/>
        </w:rPr>
      </w:pPr>
      <w:r>
        <w:rPr>
          <w:rFonts w:hint="eastAsia" w:ascii="宋体" w:hAnsi="宋体" w:eastAsia="宋体" w:cs="宋体"/>
          <w:color w:val="auto"/>
          <w:sz w:val="30"/>
          <w:szCs w:val="30"/>
        </w:rPr>
        <w:t>以上因使用不当造成任何后果与本报告执业注册会计师</w:t>
      </w:r>
      <w:r>
        <w:rPr>
          <w:rFonts w:hint="eastAsia" w:ascii="宋体" w:hAnsi="宋体" w:eastAsia="宋体" w:cs="宋体"/>
          <w:sz w:val="30"/>
          <w:szCs w:val="30"/>
        </w:rPr>
        <w:t>及本事务所无关。</w:t>
      </w:r>
    </w:p>
    <w:p>
      <w:pPr>
        <w:ind w:firstLine="600" w:firstLineChars="200"/>
        <w:rPr>
          <w:rFonts w:hint="eastAsia" w:ascii="宋体" w:hAnsi="宋体" w:eastAsia="宋体" w:cs="宋体"/>
          <w:sz w:val="30"/>
          <w:szCs w:val="30"/>
        </w:rPr>
      </w:pPr>
    </w:p>
    <w:p>
      <w:pPr>
        <w:ind w:firstLine="300" w:firstLineChars="100"/>
        <w:rPr>
          <w:rFonts w:hint="eastAsia" w:ascii="宋体" w:hAnsi="宋体" w:eastAsia="宋体" w:cs="宋体"/>
          <w:color w:val="auto"/>
          <w:sz w:val="30"/>
          <w:szCs w:val="30"/>
          <w:highlight w:val="none"/>
          <w:lang w:eastAsia="zh-CN"/>
        </w:rPr>
      </w:pPr>
      <w:r>
        <w:rPr>
          <w:rFonts w:hint="eastAsia" w:ascii="宋体" w:hAnsi="宋体" w:cs="宋体"/>
          <w:sz w:val="30"/>
          <w:szCs w:val="30"/>
          <w:lang w:val="en-US" w:eastAsia="zh-CN"/>
        </w:rPr>
        <w:t>附件1：</w:t>
      </w:r>
      <w:r>
        <w:rPr>
          <w:rFonts w:hint="eastAsia" w:ascii="宋体" w:hAnsi="宋体" w:eastAsia="宋体" w:cs="宋体"/>
          <w:color w:val="auto"/>
          <w:sz w:val="30"/>
          <w:szCs w:val="30"/>
          <w:highlight w:val="none"/>
        </w:rPr>
        <w:t>《</w:t>
      </w:r>
      <w:r>
        <w:rPr>
          <w:rFonts w:hint="eastAsia" w:ascii="宋体" w:hAnsi="宋体" w:eastAsia="宋体" w:cs="宋体"/>
          <w:color w:val="auto"/>
          <w:sz w:val="30"/>
          <w:szCs w:val="30"/>
          <w:highlight w:val="none"/>
          <w:lang w:eastAsia="zh-CN"/>
        </w:rPr>
        <w:t>云溪区</w:t>
      </w:r>
      <w:r>
        <w:rPr>
          <w:rFonts w:hint="eastAsia" w:ascii="宋体" w:hAnsi="宋体" w:eastAsia="宋体" w:cs="宋体"/>
          <w:color w:val="auto"/>
          <w:sz w:val="30"/>
          <w:szCs w:val="30"/>
          <w:highlight w:val="none"/>
          <w:lang w:val="en-US" w:eastAsia="zh-CN"/>
        </w:rPr>
        <w:t>应急管理局</w:t>
      </w:r>
      <w:r>
        <w:rPr>
          <w:rFonts w:hint="eastAsia" w:ascii="宋体" w:hAnsi="宋体" w:eastAsia="宋体" w:cs="宋体"/>
          <w:color w:val="auto"/>
          <w:sz w:val="30"/>
          <w:szCs w:val="30"/>
          <w:highlight w:val="none"/>
        </w:rPr>
        <w:t>整体支出绩效评价指标体系》</w:t>
      </w:r>
      <w:r>
        <w:rPr>
          <w:rFonts w:hint="eastAsia" w:ascii="宋体" w:hAnsi="宋体" w:eastAsia="宋体" w:cs="宋体"/>
          <w:color w:val="auto"/>
          <w:sz w:val="30"/>
          <w:szCs w:val="30"/>
          <w:highlight w:val="none"/>
        </w:rPr>
        <w:object>
          <v:shape id="_x0000_i1025" o:spt="75" type="#_x0000_t75" style="height:65.5pt;width:72.5pt;" o:ole="t" filled="f" o:preferrelative="t" stroked="f" coordsize="21600,21600">
            <v:path/>
            <v:fill on="f" focussize="0,0"/>
            <v:stroke on="f"/>
            <v:imagedata r:id="rId9" o:title=""/>
            <o:lock v:ext="edit" aspectratio="t"/>
            <w10:wrap type="none"/>
            <w10:anchorlock/>
          </v:shape>
          <o:OLEObject Type="Embed" ProgID="Word.Document.12" ShapeID="_x0000_i1025" DrawAspect="Icon" ObjectID="_1468075725" r:id="rId8">
            <o:LockedField>false</o:LockedField>
          </o:OLEObject>
        </w:object>
      </w:r>
    </w:p>
    <w:p>
      <w:pPr>
        <w:ind w:firstLine="300" w:firstLineChars="100"/>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lang w:val="en-US" w:eastAsia="zh-CN"/>
        </w:rPr>
        <w:t>附件2：</w:t>
      </w:r>
      <w:r>
        <w:rPr>
          <w:rFonts w:hint="eastAsia" w:ascii="宋体" w:hAnsi="宋体" w:eastAsia="宋体" w:cs="宋体"/>
          <w:color w:val="auto"/>
          <w:sz w:val="30"/>
          <w:szCs w:val="30"/>
          <w:highlight w:val="none"/>
        </w:rPr>
        <w:t>《</w:t>
      </w:r>
      <w:r>
        <w:rPr>
          <w:rFonts w:hint="eastAsia" w:ascii="宋体" w:hAnsi="宋体" w:eastAsia="宋体" w:cs="宋体"/>
          <w:color w:val="auto"/>
          <w:sz w:val="30"/>
          <w:szCs w:val="30"/>
          <w:highlight w:val="none"/>
          <w:lang w:eastAsia="zh-CN"/>
        </w:rPr>
        <w:t>云溪区</w:t>
      </w:r>
      <w:r>
        <w:rPr>
          <w:rFonts w:hint="eastAsia" w:ascii="宋体" w:hAnsi="宋体" w:eastAsia="宋体" w:cs="宋体"/>
          <w:color w:val="auto"/>
          <w:sz w:val="30"/>
          <w:szCs w:val="30"/>
          <w:highlight w:val="none"/>
          <w:lang w:val="en-US" w:eastAsia="zh-CN"/>
        </w:rPr>
        <w:t>应急管理局</w:t>
      </w:r>
      <w:r>
        <w:rPr>
          <w:rFonts w:hint="eastAsia" w:ascii="宋体" w:hAnsi="宋体" w:eastAsia="宋体" w:cs="宋体"/>
          <w:color w:val="auto"/>
          <w:sz w:val="30"/>
          <w:szCs w:val="30"/>
          <w:highlight w:val="none"/>
        </w:rPr>
        <w:t>整体支出绩效评价</w:t>
      </w:r>
      <w:r>
        <w:rPr>
          <w:rFonts w:hint="eastAsia" w:ascii="宋体" w:hAnsi="宋体" w:eastAsia="宋体" w:cs="宋体"/>
          <w:color w:val="auto"/>
          <w:sz w:val="30"/>
          <w:szCs w:val="30"/>
          <w:highlight w:val="none"/>
          <w:lang w:eastAsia="zh-CN"/>
        </w:rPr>
        <w:t>评分表</w:t>
      </w:r>
      <w:r>
        <w:rPr>
          <w:rFonts w:hint="eastAsia" w:ascii="宋体" w:hAnsi="宋体" w:eastAsia="宋体" w:cs="宋体"/>
          <w:color w:val="auto"/>
          <w:sz w:val="30"/>
          <w:szCs w:val="30"/>
          <w:highlight w:val="none"/>
        </w:rPr>
        <w:t>》</w:t>
      </w:r>
      <w:r>
        <w:rPr>
          <w:rFonts w:hint="eastAsia" w:ascii="宋体" w:hAnsi="宋体" w:eastAsia="宋体" w:cs="宋体"/>
          <w:color w:val="auto"/>
          <w:sz w:val="30"/>
          <w:szCs w:val="30"/>
          <w:highlight w:val="none"/>
        </w:rPr>
        <w:object>
          <v:shape id="_x0000_i1026" o:spt="75" type="#_x0000_t75" style="height:65.5pt;width:72.5pt;" o:ole="t" filled="f" o:preferrelative="t" stroked="f" coordsize="21600,21600">
            <v:path/>
            <v:fill on="f" focussize="0,0"/>
            <v:stroke on="f"/>
            <v:imagedata r:id="rId11" o:title=""/>
            <o:lock v:ext="edit" aspectratio="t"/>
            <w10:wrap type="none"/>
            <w10:anchorlock/>
          </v:shape>
          <o:OLEObject Type="Embed" ProgID="Word.Document.12" ShapeID="_x0000_i1026" DrawAspect="Icon" ObjectID="_1468075726" r:id="rId10">
            <o:LockedField>false</o:LockedField>
          </o:OLEObject>
        </w:object>
      </w:r>
    </w:p>
    <w:p>
      <w:pPr>
        <w:pStyle w:val="2"/>
        <w:ind w:left="0" w:leftChars="0" w:firstLine="300" w:firstLineChars="100"/>
        <w:rPr>
          <w:rFonts w:hint="default" w:eastAsia="宋体"/>
          <w:lang w:val="en-US" w:eastAsia="zh-CN"/>
        </w:rPr>
      </w:pPr>
      <w:r>
        <w:rPr>
          <w:rFonts w:hint="eastAsia" w:ascii="宋体" w:hAnsi="宋体" w:cs="宋体"/>
          <w:color w:val="auto"/>
          <w:sz w:val="30"/>
          <w:szCs w:val="30"/>
          <w:highlight w:val="none"/>
          <w:lang w:val="en-US" w:eastAsia="zh-CN"/>
        </w:rPr>
        <w:t>附件3：《预算与实际支出对比表》</w:t>
      </w:r>
      <w:r>
        <w:rPr>
          <w:rFonts w:hint="eastAsia" w:ascii="宋体" w:hAnsi="宋体" w:cs="宋体"/>
          <w:color w:val="auto"/>
          <w:sz w:val="30"/>
          <w:szCs w:val="30"/>
          <w:highlight w:val="none"/>
          <w:lang w:val="en-US" w:eastAsia="zh-CN"/>
        </w:rPr>
        <w:object>
          <v:shape id="_x0000_i1027" o:spt="75" type="#_x0000_t75" style="height:65.5pt;width:72.5pt;" o:ole="t" filled="f" o:preferrelative="t" stroked="f" coordsize="21600,21600">
            <v:path/>
            <v:fill on="f" focussize="0,0"/>
            <v:stroke on="f"/>
            <v:imagedata r:id="rId13" o:title=""/>
            <o:lock v:ext="edit" aspectratio="t"/>
            <w10:wrap type="none"/>
            <w10:anchorlock/>
          </v:shape>
          <o:OLEObject Type="Embed" ProgID="Excel.Sheet.12" ShapeID="_x0000_i1027" DrawAspect="Icon" ObjectID="_1468075727" r:id="rId12">
            <o:LockedField>false</o:LockedField>
          </o:OLEObject>
        </w:object>
      </w:r>
    </w:p>
    <w:p>
      <w:pPr>
        <w:spacing w:line="300" w:lineRule="auto"/>
        <w:rPr>
          <w:rFonts w:hint="eastAsia" w:ascii="宋体" w:hAnsi="宋体" w:eastAsia="宋体" w:cs="宋体"/>
          <w:color w:val="000000"/>
          <w:sz w:val="30"/>
          <w:szCs w:val="30"/>
        </w:rPr>
      </w:pPr>
    </w:p>
    <w:p>
      <w:pPr>
        <w:pStyle w:val="2"/>
        <w:rPr>
          <w:rFonts w:hint="eastAsia"/>
        </w:rPr>
      </w:pPr>
    </w:p>
    <w:p>
      <w:pPr>
        <w:spacing w:line="300" w:lineRule="auto"/>
        <w:ind w:firstLine="900" w:firstLineChars="300"/>
        <w:rPr>
          <w:rFonts w:hint="eastAsia" w:ascii="宋体" w:hAnsi="宋体" w:eastAsia="宋体" w:cs="宋体"/>
          <w:color w:val="000000"/>
          <w:sz w:val="30"/>
          <w:szCs w:val="30"/>
        </w:rPr>
      </w:pPr>
    </w:p>
    <w:p>
      <w:pPr>
        <w:spacing w:line="300" w:lineRule="auto"/>
        <w:ind w:firstLine="1200" w:firstLineChars="400"/>
        <w:rPr>
          <w:rFonts w:hint="eastAsia" w:ascii="宋体" w:hAnsi="宋体" w:eastAsia="宋体" w:cs="宋体"/>
          <w:color w:val="000000"/>
          <w:sz w:val="30"/>
          <w:szCs w:val="30"/>
        </w:rPr>
      </w:pPr>
      <w:r>
        <w:rPr>
          <w:rFonts w:hint="eastAsia" w:ascii="宋体" w:hAnsi="宋体" w:eastAsia="宋体" w:cs="宋体"/>
          <w:color w:val="000000"/>
          <w:sz w:val="30"/>
          <w:szCs w:val="30"/>
        </w:rPr>
        <w:t>湖南恒兴联合                 中国注册会计师:</w:t>
      </w:r>
    </w:p>
    <w:p>
      <w:pPr>
        <w:spacing w:line="300" w:lineRule="auto"/>
        <w:ind w:firstLine="600" w:firstLineChars="200"/>
        <w:rPr>
          <w:rFonts w:hint="eastAsia" w:ascii="宋体" w:hAnsi="宋体" w:eastAsia="宋体" w:cs="宋体"/>
          <w:color w:val="000000"/>
          <w:sz w:val="30"/>
          <w:szCs w:val="30"/>
        </w:rPr>
      </w:pPr>
    </w:p>
    <w:p>
      <w:pPr>
        <w:spacing w:line="300" w:lineRule="auto"/>
        <w:ind w:firstLine="1200" w:firstLineChars="400"/>
        <w:rPr>
          <w:rFonts w:hint="eastAsia" w:ascii="宋体" w:hAnsi="宋体" w:eastAsia="宋体" w:cs="宋体"/>
          <w:sz w:val="30"/>
          <w:szCs w:val="30"/>
        </w:rPr>
      </w:pPr>
      <w:r>
        <w:rPr>
          <w:rFonts w:hint="eastAsia" w:ascii="宋体" w:hAnsi="宋体" w:eastAsia="宋体" w:cs="宋体"/>
          <w:color w:val="000000"/>
          <w:sz w:val="30"/>
          <w:szCs w:val="30"/>
        </w:rPr>
        <w:t>会计师事务所                 中国注册会计师：</w:t>
      </w:r>
    </w:p>
    <w:p>
      <w:pPr>
        <w:spacing w:line="1000" w:lineRule="exact"/>
        <w:ind w:firstLine="1200" w:firstLineChars="400"/>
        <w:rPr>
          <w:rFonts w:hint="eastAsia" w:ascii="宋体" w:hAnsi="宋体" w:eastAsia="宋体" w:cs="宋体"/>
          <w:color w:val="000000"/>
          <w:sz w:val="30"/>
          <w:szCs w:val="30"/>
        </w:rPr>
      </w:pPr>
      <w:r>
        <w:rPr>
          <w:rFonts w:hint="eastAsia" w:ascii="宋体" w:hAnsi="宋体" w:eastAsia="宋体" w:cs="宋体"/>
          <w:color w:val="000000"/>
          <w:sz w:val="30"/>
          <w:szCs w:val="30"/>
        </w:rPr>
        <w:t>湖南.岳阳                 二0</w:t>
      </w:r>
      <w:r>
        <w:rPr>
          <w:rFonts w:hint="eastAsia" w:ascii="宋体" w:hAnsi="宋体" w:eastAsia="宋体" w:cs="宋体"/>
          <w:color w:val="000000"/>
          <w:sz w:val="30"/>
          <w:szCs w:val="30"/>
          <w:lang w:val="en-US" w:eastAsia="zh-CN"/>
        </w:rPr>
        <w:t>二一</w:t>
      </w:r>
      <w:r>
        <w:rPr>
          <w:rFonts w:hint="eastAsia" w:ascii="宋体" w:hAnsi="宋体" w:eastAsia="宋体" w:cs="宋体"/>
          <w:color w:val="000000"/>
          <w:sz w:val="30"/>
          <w:szCs w:val="30"/>
        </w:rPr>
        <w:t>年</w:t>
      </w:r>
      <w:r>
        <w:rPr>
          <w:rFonts w:hint="eastAsia" w:ascii="宋体" w:hAnsi="宋体" w:eastAsia="宋体" w:cs="宋体"/>
          <w:color w:val="000000"/>
          <w:sz w:val="30"/>
          <w:szCs w:val="30"/>
          <w:lang w:eastAsia="zh-CN"/>
        </w:rPr>
        <w:t>十</w:t>
      </w:r>
      <w:r>
        <w:rPr>
          <w:rFonts w:hint="eastAsia" w:ascii="宋体" w:hAnsi="宋体" w:eastAsia="宋体" w:cs="宋体"/>
          <w:color w:val="000000"/>
          <w:sz w:val="30"/>
          <w:szCs w:val="30"/>
          <w:lang w:val="en-US" w:eastAsia="zh-CN"/>
        </w:rPr>
        <w:t>一</w:t>
      </w:r>
      <w:r>
        <w:rPr>
          <w:rFonts w:hint="eastAsia" w:ascii="宋体" w:hAnsi="宋体" w:eastAsia="宋体" w:cs="宋体"/>
          <w:color w:val="000000"/>
          <w:sz w:val="30"/>
          <w:szCs w:val="30"/>
        </w:rPr>
        <w:t>月</w:t>
      </w:r>
      <w:r>
        <w:rPr>
          <w:rFonts w:hint="eastAsia" w:ascii="宋体" w:hAnsi="宋体" w:cs="宋体"/>
          <w:color w:val="000000"/>
          <w:sz w:val="30"/>
          <w:szCs w:val="30"/>
          <w:lang w:val="en-US" w:eastAsia="zh-CN"/>
        </w:rPr>
        <w:t>二十三</w:t>
      </w:r>
      <w:r>
        <w:rPr>
          <w:rFonts w:hint="eastAsia" w:ascii="宋体" w:hAnsi="宋体" w:eastAsia="宋体" w:cs="宋体"/>
          <w:color w:val="000000"/>
          <w:sz w:val="30"/>
          <w:szCs w:val="30"/>
        </w:rPr>
        <w:t>日</w:t>
      </w:r>
    </w:p>
    <w:p>
      <w:pPr>
        <w:rPr>
          <w:rFonts w:hint="eastAsia" w:ascii="宋体" w:hAnsi="宋体" w:eastAsia="宋体" w:cs="宋体"/>
          <w:b/>
          <w:color w:val="000000"/>
          <w:kern w:val="0"/>
          <w:sz w:val="30"/>
          <w:szCs w:val="30"/>
        </w:rPr>
      </w:pPr>
    </w:p>
    <w:sectPr>
      <w:headerReference r:id="rId5" w:type="default"/>
      <w:footerReference r:id="rId6" w:type="default"/>
      <w:pgSz w:w="11906" w:h="16838"/>
      <w:pgMar w:top="1417" w:right="1417" w:bottom="1417" w:left="1417" w:header="851" w:footer="992"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Himalaya">
    <w:panose1 w:val="01010100010101010101"/>
    <w:charset w:val="00"/>
    <w:family w:val="auto"/>
    <w:pitch w:val="default"/>
    <w:sig w:usb0="80000003" w:usb1="00010000" w:usb2="00000040" w:usb3="00000000" w:csb0="00000001"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r>
      <w:rPr>
        <w:rFonts w:hint="eastAsia"/>
        <w:b/>
        <w:bCs/>
      </w:rPr>
      <w:t xml:space="preserve">  </w:t>
    </w:r>
    <w:r>
      <w:rPr>
        <w:rFonts w:hint="eastAsia" w:eastAsia="仿宋"/>
        <w:b/>
        <w:bCs/>
      </w:rPr>
      <w:t>湖 南 恒 兴 联 合 会 计 师 事 务 所</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right"/>
      <w:rPr>
        <w:rFonts w:hint="eastAsia" w:ascii="楷体" w:hAnsi="楷体" w:eastAsia="楷体" w:cs="楷体"/>
        <w:b/>
      </w:rPr>
    </w:pPr>
    <w:r>
      <w:rPr>
        <w:rFonts w:hint="eastAsia" w:ascii="楷体" w:hAnsi="楷体" w:eastAsia="楷体" w:cs="楷体"/>
        <w:b/>
      </w:rPr>
      <w:t xml:space="preserve">                                 </w:t>
    </w:r>
  </w:p>
  <w:p>
    <w:pPr>
      <w:pStyle w:val="17"/>
      <w:pBdr>
        <w:bottom w:val="none" w:color="auto" w:sz="0" w:space="0"/>
      </w:pBdr>
    </w:pPr>
  </w:p>
  <w:p>
    <w:pPr>
      <w:pStyle w:val="17"/>
      <w:pBdr>
        <w:bottom w:val="none" w:color="auto" w:sz="0" w:space="0"/>
      </w:pBdr>
      <w:jc w:val="both"/>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0"/>
      </w:pBdr>
      <w:jc w:val="right"/>
      <w:rPr>
        <w:rFonts w:hint="eastAsia" w:ascii="楷体" w:hAnsi="楷体" w:eastAsia="楷体" w:cs="楷体"/>
        <w:b/>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9Kf18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z0p/XyQEAAJkDAAAOAAAAAAAAAAEAIAAAAB4BAABkcnMvZTJvRG9j&#10;LnhtbFBLBQYAAAAABgAGAFkBAABZBQAAAAA=&#10;">
              <v:fill on="f" focussize="0,0"/>
              <v:stroke on="f"/>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ascii="楷体" w:hAnsi="楷体" w:eastAsia="楷体" w:cs="楷体"/>
        <w:b/>
      </w:rPr>
      <w:t>2016年岳阳市云溪区禁违拆违治违督查办公室整体支出绩效评价报告书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0"/>
      </w:pBdr>
      <w:jc w:val="right"/>
      <w:rPr>
        <w:rFonts w:hint="eastAsia" w:ascii="楷体" w:hAnsi="楷体" w:eastAsia="楷体" w:cs="楷体"/>
        <w:b/>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2sTMkBAACZAwAADgAAAGRycy9lMm9Eb2MueG1srVPNjtMwEL4j8Q6W&#10;79TZI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OzaxMyQEAAJkDAAAOAAAAAAAAAAEAIAAAAB4BAABkcnMvZTJvRG9j&#10;LnhtbFBLBQYAAAAABgAGAFkBAABZBQAAAAA=&#10;">
              <v:fill on="f" focussize="0,0"/>
              <v:stroke on="f"/>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ascii="楷体" w:hAnsi="楷体" w:eastAsia="楷体" w:cs="楷体"/>
        <w:b/>
      </w:rPr>
      <w:t xml:space="preserve">                     20</w:t>
    </w:r>
    <w:r>
      <w:rPr>
        <w:rFonts w:hint="eastAsia" w:ascii="楷体" w:hAnsi="楷体" w:eastAsia="楷体" w:cs="楷体"/>
        <w:b/>
        <w:lang w:val="en-US" w:eastAsia="zh-CN"/>
      </w:rPr>
      <w:t>20</w:t>
    </w:r>
    <w:r>
      <w:rPr>
        <w:rFonts w:hint="eastAsia" w:ascii="楷体" w:hAnsi="楷体" w:eastAsia="楷体" w:cs="楷体"/>
        <w:b/>
      </w:rPr>
      <w:t>年云溪区</w:t>
    </w:r>
    <w:r>
      <w:rPr>
        <w:rFonts w:hint="eastAsia" w:ascii="楷体" w:hAnsi="楷体" w:eastAsia="楷体" w:cs="楷体"/>
        <w:b/>
        <w:lang w:val="en-US" w:eastAsia="zh-CN"/>
      </w:rPr>
      <w:t>应急管理局</w:t>
    </w:r>
    <w:r>
      <w:rPr>
        <w:rFonts w:hint="eastAsia" w:ascii="楷体" w:hAnsi="楷体" w:eastAsia="楷体" w:cs="楷体"/>
        <w:b/>
      </w:rPr>
      <w:t>整体支出绩效评价报告书</w:t>
    </w:r>
  </w:p>
  <w:p>
    <w:pPr>
      <w:pStyle w:val="17"/>
      <w:pBdr>
        <w:bottom w:val="none" w:color="auto" w:sz="0" w:space="0"/>
      </w:pBdr>
    </w:pPr>
  </w:p>
  <w:p>
    <w:pPr>
      <w:pStyle w:val="17"/>
      <w:pBdr>
        <w:bottom w:val="none" w:color="auto" w:sz="0" w:space="0"/>
      </w:pBdr>
      <w:jc w:val="both"/>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FBBCF5"/>
    <w:multiLevelType w:val="singleLevel"/>
    <w:tmpl w:val="97FBBCF5"/>
    <w:lvl w:ilvl="0" w:tentative="0">
      <w:start w:val="7"/>
      <w:numFmt w:val="chineseCounting"/>
      <w:suff w:val="nothing"/>
      <w:lvlText w:val="%1、"/>
      <w:lvlJc w:val="left"/>
      <w:rPr>
        <w:rFonts w:hint="eastAsia"/>
      </w:rPr>
    </w:lvl>
  </w:abstractNum>
  <w:abstractNum w:abstractNumId="1">
    <w:nsid w:val="9F3CEF69"/>
    <w:multiLevelType w:val="singleLevel"/>
    <w:tmpl w:val="9F3CEF69"/>
    <w:lvl w:ilvl="0" w:tentative="0">
      <w:start w:val="1"/>
      <w:numFmt w:val="chineseCounting"/>
      <w:suff w:val="nothing"/>
      <w:lvlText w:val="%1、"/>
      <w:lvlJc w:val="left"/>
      <w:rPr>
        <w:rFonts w:hint="eastAsia"/>
      </w:rPr>
    </w:lvl>
  </w:abstractNum>
  <w:abstractNum w:abstractNumId="2">
    <w:nsid w:val="B3496EA1"/>
    <w:multiLevelType w:val="singleLevel"/>
    <w:tmpl w:val="B3496EA1"/>
    <w:lvl w:ilvl="0" w:tentative="0">
      <w:start w:val="1"/>
      <w:numFmt w:val="decimal"/>
      <w:suff w:val="nothing"/>
      <w:lvlText w:val="%1、"/>
      <w:lvlJc w:val="left"/>
      <w:pPr>
        <w:ind w:left="28"/>
      </w:pPr>
      <w:rPr>
        <w:rFonts w:hint="default"/>
        <w:color w:val="auto"/>
      </w:rPr>
    </w:lvl>
  </w:abstractNum>
  <w:abstractNum w:abstractNumId="3">
    <w:nsid w:val="1F44254B"/>
    <w:multiLevelType w:val="multilevel"/>
    <w:tmpl w:val="1F44254B"/>
    <w:lvl w:ilvl="0" w:tentative="0">
      <w:start w:val="2"/>
      <w:numFmt w:val="decimal"/>
      <w:pStyle w:val="4"/>
      <w:lvlText w:val="%1"/>
      <w:lvlJc w:val="left"/>
      <w:pPr>
        <w:tabs>
          <w:tab w:val="left" w:pos="1282"/>
        </w:tabs>
        <w:ind w:left="1282" w:hanging="432"/>
      </w:pPr>
      <w:rPr>
        <w:rFonts w:hint="eastAsia"/>
      </w:rPr>
    </w:lvl>
    <w:lvl w:ilvl="1" w:tentative="0">
      <w:start w:val="1"/>
      <w:numFmt w:val="decimal"/>
      <w:pStyle w:val="5"/>
      <w:lvlText w:val="%2"/>
      <w:lvlJc w:val="left"/>
      <w:pPr>
        <w:tabs>
          <w:tab w:val="left" w:pos="1426"/>
        </w:tabs>
        <w:ind w:left="1426" w:hanging="576"/>
      </w:pPr>
      <w:rPr>
        <w:rFonts w:ascii="Times New Roman" w:hAnsi="Times New Roman" w:eastAsia="Times New Roman" w:cs="Times New Roman"/>
      </w:rPr>
    </w:lvl>
    <w:lvl w:ilvl="2" w:tentative="0">
      <w:start w:val="1"/>
      <w:numFmt w:val="decimal"/>
      <w:pStyle w:val="6"/>
      <w:lvlText w:val="%1.%2.%3"/>
      <w:lvlJc w:val="left"/>
      <w:pPr>
        <w:tabs>
          <w:tab w:val="left" w:pos="1570"/>
        </w:tabs>
        <w:ind w:left="1570" w:hanging="720"/>
      </w:pPr>
      <w:rPr>
        <w:rFonts w:hint="eastAsia"/>
      </w:rPr>
    </w:lvl>
    <w:lvl w:ilvl="3" w:tentative="0">
      <w:start w:val="1"/>
      <w:numFmt w:val="decimal"/>
      <w:pStyle w:val="7"/>
      <w:lvlText w:val="%1.%2.%3.%4"/>
      <w:lvlJc w:val="left"/>
      <w:pPr>
        <w:tabs>
          <w:tab w:val="left" w:pos="1714"/>
        </w:tabs>
        <w:ind w:left="1714" w:hanging="864"/>
      </w:pPr>
      <w:rPr>
        <w:rFonts w:hint="eastAsia"/>
      </w:rPr>
    </w:lvl>
    <w:lvl w:ilvl="4" w:tentative="0">
      <w:start w:val="1"/>
      <w:numFmt w:val="decimal"/>
      <w:pStyle w:val="8"/>
      <w:lvlText w:val="%1.%2.%3.%4.%5"/>
      <w:lvlJc w:val="left"/>
      <w:pPr>
        <w:tabs>
          <w:tab w:val="left" w:pos="1858"/>
        </w:tabs>
        <w:ind w:left="1858" w:hanging="1008"/>
      </w:pPr>
      <w:rPr>
        <w:rFonts w:hint="eastAsia"/>
      </w:rPr>
    </w:lvl>
    <w:lvl w:ilvl="5" w:tentative="0">
      <w:start w:val="1"/>
      <w:numFmt w:val="decimal"/>
      <w:pStyle w:val="9"/>
      <w:isLgl/>
      <w:lvlText w:val="%1.%2.%3.%4.%5.%6"/>
      <w:lvlJc w:val="left"/>
      <w:pPr>
        <w:tabs>
          <w:tab w:val="left" w:pos="2002"/>
        </w:tabs>
        <w:ind w:left="2002" w:hanging="1152"/>
      </w:pPr>
      <w:rPr>
        <w:rFonts w:hint="eastAsia"/>
      </w:rPr>
    </w:lvl>
    <w:lvl w:ilvl="6" w:tentative="0">
      <w:start w:val="1"/>
      <w:numFmt w:val="decimal"/>
      <w:pStyle w:val="10"/>
      <w:lvlText w:val="%1.%2.%3.%4.%5.%6.%7"/>
      <w:lvlJc w:val="left"/>
      <w:pPr>
        <w:tabs>
          <w:tab w:val="left" w:pos="2146"/>
        </w:tabs>
        <w:ind w:left="2146" w:hanging="1296"/>
      </w:pPr>
      <w:rPr>
        <w:rFonts w:hint="eastAsia"/>
      </w:rPr>
    </w:lvl>
    <w:lvl w:ilvl="7" w:tentative="0">
      <w:start w:val="1"/>
      <w:numFmt w:val="decimal"/>
      <w:pStyle w:val="11"/>
      <w:lvlText w:val="%1.%2.%3.%4.%5.%6.%7.%8"/>
      <w:lvlJc w:val="left"/>
      <w:pPr>
        <w:tabs>
          <w:tab w:val="left" w:pos="2290"/>
        </w:tabs>
        <w:ind w:left="2290" w:hanging="1440"/>
      </w:pPr>
      <w:rPr>
        <w:rFonts w:hint="eastAsia"/>
      </w:rPr>
    </w:lvl>
    <w:lvl w:ilvl="8" w:tentative="0">
      <w:start w:val="1"/>
      <w:numFmt w:val="decimal"/>
      <w:pStyle w:val="12"/>
      <w:lvlText w:val="%1.%2.%3.%4.%5.%6.%7.%8.%9"/>
      <w:lvlJc w:val="left"/>
      <w:pPr>
        <w:tabs>
          <w:tab w:val="left" w:pos="2434"/>
        </w:tabs>
        <w:ind w:left="2434" w:hanging="1584"/>
      </w:pPr>
      <w:rPr>
        <w:rFonts w:hint="eastAsia"/>
      </w:rPr>
    </w:lvl>
  </w:abstractNum>
  <w:abstractNum w:abstractNumId="4">
    <w:nsid w:val="5940B60A"/>
    <w:multiLevelType w:val="singleLevel"/>
    <w:tmpl w:val="5940B60A"/>
    <w:lvl w:ilvl="0" w:tentative="0">
      <w:start w:val="2"/>
      <w:numFmt w:val="chineseCounting"/>
      <w:suff w:val="nothing"/>
      <w:lvlText w:val="（%1）"/>
      <w:lvlJc w:val="left"/>
    </w:lvl>
  </w:abstractNum>
  <w:abstractNum w:abstractNumId="5">
    <w:nsid w:val="5A2CB064"/>
    <w:multiLevelType w:val="singleLevel"/>
    <w:tmpl w:val="5A2CB064"/>
    <w:lvl w:ilvl="0" w:tentative="0">
      <w:start w:val="2"/>
      <w:numFmt w:val="decimal"/>
      <w:suff w:val="nothing"/>
      <w:lvlText w:val="%1．"/>
      <w:lvlJc w:val="left"/>
    </w:lvl>
  </w:abstractNum>
  <w:abstractNum w:abstractNumId="6">
    <w:nsid w:val="79DCDDFB"/>
    <w:multiLevelType w:val="singleLevel"/>
    <w:tmpl w:val="79DCDDFB"/>
    <w:lvl w:ilvl="0" w:tentative="0">
      <w:start w:val="1"/>
      <w:numFmt w:val="decimal"/>
      <w:suff w:val="space"/>
      <w:lvlText w:val="%1."/>
      <w:lvlJc w:val="left"/>
    </w:lvl>
  </w:abstractNum>
  <w:abstractNum w:abstractNumId="7">
    <w:nsid w:val="7B195E26"/>
    <w:multiLevelType w:val="singleLevel"/>
    <w:tmpl w:val="7B195E26"/>
    <w:lvl w:ilvl="0" w:tentative="0">
      <w:start w:val="2"/>
      <w:numFmt w:val="chineseCounting"/>
      <w:suff w:val="nothing"/>
      <w:lvlText w:val="（%1）"/>
      <w:lvlJc w:val="left"/>
      <w:rPr>
        <w:rFonts w:hint="eastAsia"/>
      </w:rPr>
    </w:lvl>
  </w:abstractNum>
  <w:num w:numId="1">
    <w:abstractNumId w:val="3"/>
  </w:num>
  <w:num w:numId="2">
    <w:abstractNumId w:val="1"/>
  </w:num>
  <w:num w:numId="3">
    <w:abstractNumId w:val="2"/>
  </w:num>
  <w:num w:numId="4">
    <w:abstractNumId w:val="5"/>
  </w:num>
  <w:num w:numId="5">
    <w:abstractNumId w:val="7"/>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EF4"/>
    <w:rsid w:val="00001BAD"/>
    <w:rsid w:val="00002DD4"/>
    <w:rsid w:val="00005B8E"/>
    <w:rsid w:val="000061D5"/>
    <w:rsid w:val="00010781"/>
    <w:rsid w:val="00014334"/>
    <w:rsid w:val="000147E3"/>
    <w:rsid w:val="000151F4"/>
    <w:rsid w:val="00015653"/>
    <w:rsid w:val="0001616A"/>
    <w:rsid w:val="00016D4D"/>
    <w:rsid w:val="00017C53"/>
    <w:rsid w:val="00020C6B"/>
    <w:rsid w:val="00027D64"/>
    <w:rsid w:val="00030D88"/>
    <w:rsid w:val="00031596"/>
    <w:rsid w:val="00036DED"/>
    <w:rsid w:val="00040F19"/>
    <w:rsid w:val="00042217"/>
    <w:rsid w:val="00042297"/>
    <w:rsid w:val="00043444"/>
    <w:rsid w:val="0004445F"/>
    <w:rsid w:val="000451C3"/>
    <w:rsid w:val="00052F5B"/>
    <w:rsid w:val="0005325E"/>
    <w:rsid w:val="00054F53"/>
    <w:rsid w:val="000601D9"/>
    <w:rsid w:val="0006024F"/>
    <w:rsid w:val="00060A3F"/>
    <w:rsid w:val="00063E36"/>
    <w:rsid w:val="00064CFE"/>
    <w:rsid w:val="00065042"/>
    <w:rsid w:val="000676E1"/>
    <w:rsid w:val="000719AB"/>
    <w:rsid w:val="00072A52"/>
    <w:rsid w:val="00072DBD"/>
    <w:rsid w:val="000736A5"/>
    <w:rsid w:val="00074978"/>
    <w:rsid w:val="000754E9"/>
    <w:rsid w:val="000778D0"/>
    <w:rsid w:val="00077D3E"/>
    <w:rsid w:val="00083D09"/>
    <w:rsid w:val="00083F35"/>
    <w:rsid w:val="00085369"/>
    <w:rsid w:val="00087680"/>
    <w:rsid w:val="00090B0B"/>
    <w:rsid w:val="00091E62"/>
    <w:rsid w:val="00095994"/>
    <w:rsid w:val="00095B6D"/>
    <w:rsid w:val="000A0066"/>
    <w:rsid w:val="000A0B91"/>
    <w:rsid w:val="000A12C9"/>
    <w:rsid w:val="000A20CF"/>
    <w:rsid w:val="000A2820"/>
    <w:rsid w:val="000A49CB"/>
    <w:rsid w:val="000A5245"/>
    <w:rsid w:val="000A7ED2"/>
    <w:rsid w:val="000B244E"/>
    <w:rsid w:val="000B4F32"/>
    <w:rsid w:val="000C0761"/>
    <w:rsid w:val="000C5D38"/>
    <w:rsid w:val="000C6808"/>
    <w:rsid w:val="000C74F8"/>
    <w:rsid w:val="000D408B"/>
    <w:rsid w:val="000D4AC5"/>
    <w:rsid w:val="000D4B6D"/>
    <w:rsid w:val="000D5676"/>
    <w:rsid w:val="000D6B91"/>
    <w:rsid w:val="000E0157"/>
    <w:rsid w:val="000E1BB8"/>
    <w:rsid w:val="000E2663"/>
    <w:rsid w:val="000E26AD"/>
    <w:rsid w:val="000E3503"/>
    <w:rsid w:val="000E36B6"/>
    <w:rsid w:val="000E4D57"/>
    <w:rsid w:val="000E65BF"/>
    <w:rsid w:val="000F768C"/>
    <w:rsid w:val="000F7FCD"/>
    <w:rsid w:val="00101D97"/>
    <w:rsid w:val="00102774"/>
    <w:rsid w:val="00113671"/>
    <w:rsid w:val="00114E83"/>
    <w:rsid w:val="00117206"/>
    <w:rsid w:val="001179BA"/>
    <w:rsid w:val="001238C5"/>
    <w:rsid w:val="00123BAA"/>
    <w:rsid w:val="001247BA"/>
    <w:rsid w:val="001249FB"/>
    <w:rsid w:val="00124CF2"/>
    <w:rsid w:val="00124FA6"/>
    <w:rsid w:val="00126A28"/>
    <w:rsid w:val="00126AF4"/>
    <w:rsid w:val="00134047"/>
    <w:rsid w:val="0013468E"/>
    <w:rsid w:val="001347E6"/>
    <w:rsid w:val="001351A7"/>
    <w:rsid w:val="00135587"/>
    <w:rsid w:val="001359EC"/>
    <w:rsid w:val="00135D15"/>
    <w:rsid w:val="0013658E"/>
    <w:rsid w:val="001402A6"/>
    <w:rsid w:val="00143293"/>
    <w:rsid w:val="00144354"/>
    <w:rsid w:val="00150D7C"/>
    <w:rsid w:val="00151A1C"/>
    <w:rsid w:val="00161589"/>
    <w:rsid w:val="001616DA"/>
    <w:rsid w:val="00161A69"/>
    <w:rsid w:val="001650C6"/>
    <w:rsid w:val="00166DC6"/>
    <w:rsid w:val="00174AB0"/>
    <w:rsid w:val="001830FA"/>
    <w:rsid w:val="00184215"/>
    <w:rsid w:val="00185A13"/>
    <w:rsid w:val="00185E10"/>
    <w:rsid w:val="00186338"/>
    <w:rsid w:val="00190E19"/>
    <w:rsid w:val="001928D3"/>
    <w:rsid w:val="00194128"/>
    <w:rsid w:val="00195428"/>
    <w:rsid w:val="00195C89"/>
    <w:rsid w:val="00195FA3"/>
    <w:rsid w:val="00196C53"/>
    <w:rsid w:val="00197865"/>
    <w:rsid w:val="001A31B9"/>
    <w:rsid w:val="001A4269"/>
    <w:rsid w:val="001A44F4"/>
    <w:rsid w:val="001A45C6"/>
    <w:rsid w:val="001A4E86"/>
    <w:rsid w:val="001A6CD0"/>
    <w:rsid w:val="001B11C3"/>
    <w:rsid w:val="001B121A"/>
    <w:rsid w:val="001B16D8"/>
    <w:rsid w:val="001B4858"/>
    <w:rsid w:val="001C0537"/>
    <w:rsid w:val="001C255F"/>
    <w:rsid w:val="001C3D2E"/>
    <w:rsid w:val="001C7E4E"/>
    <w:rsid w:val="001D2B9F"/>
    <w:rsid w:val="001D5DF3"/>
    <w:rsid w:val="001D7558"/>
    <w:rsid w:val="001E1C3B"/>
    <w:rsid w:val="001E2C7B"/>
    <w:rsid w:val="001E4920"/>
    <w:rsid w:val="001F060C"/>
    <w:rsid w:val="001F0BD4"/>
    <w:rsid w:val="001F2519"/>
    <w:rsid w:val="001F43C4"/>
    <w:rsid w:val="00205E83"/>
    <w:rsid w:val="00212494"/>
    <w:rsid w:val="002143F0"/>
    <w:rsid w:val="0021466E"/>
    <w:rsid w:val="00214CA0"/>
    <w:rsid w:val="0021508F"/>
    <w:rsid w:val="00216545"/>
    <w:rsid w:val="00220062"/>
    <w:rsid w:val="002241B3"/>
    <w:rsid w:val="0022679A"/>
    <w:rsid w:val="00226B1C"/>
    <w:rsid w:val="0023056B"/>
    <w:rsid w:val="00230688"/>
    <w:rsid w:val="002312B9"/>
    <w:rsid w:val="0023131C"/>
    <w:rsid w:val="0023705F"/>
    <w:rsid w:val="00240A68"/>
    <w:rsid w:val="002420EF"/>
    <w:rsid w:val="00242E01"/>
    <w:rsid w:val="00251BF2"/>
    <w:rsid w:val="00252FAB"/>
    <w:rsid w:val="00254EBC"/>
    <w:rsid w:val="002553B0"/>
    <w:rsid w:val="00255562"/>
    <w:rsid w:val="00255C6F"/>
    <w:rsid w:val="002614FE"/>
    <w:rsid w:val="00262111"/>
    <w:rsid w:val="002643F7"/>
    <w:rsid w:val="00264E02"/>
    <w:rsid w:val="00266F31"/>
    <w:rsid w:val="00267091"/>
    <w:rsid w:val="002708BA"/>
    <w:rsid w:val="00270B2A"/>
    <w:rsid w:val="00272D94"/>
    <w:rsid w:val="0028464C"/>
    <w:rsid w:val="00286A5E"/>
    <w:rsid w:val="002905B6"/>
    <w:rsid w:val="00290B1B"/>
    <w:rsid w:val="00290E2C"/>
    <w:rsid w:val="0029121B"/>
    <w:rsid w:val="00291F2F"/>
    <w:rsid w:val="00295562"/>
    <w:rsid w:val="00297773"/>
    <w:rsid w:val="002A03FD"/>
    <w:rsid w:val="002A1E8B"/>
    <w:rsid w:val="002A312E"/>
    <w:rsid w:val="002B2778"/>
    <w:rsid w:val="002B462E"/>
    <w:rsid w:val="002B5197"/>
    <w:rsid w:val="002B5211"/>
    <w:rsid w:val="002B5EC8"/>
    <w:rsid w:val="002B6001"/>
    <w:rsid w:val="002B61E2"/>
    <w:rsid w:val="002B7E7E"/>
    <w:rsid w:val="002C030D"/>
    <w:rsid w:val="002C2728"/>
    <w:rsid w:val="002C3CE5"/>
    <w:rsid w:val="002C70A5"/>
    <w:rsid w:val="002C77AC"/>
    <w:rsid w:val="002D0239"/>
    <w:rsid w:val="002D1F1B"/>
    <w:rsid w:val="002D2AAD"/>
    <w:rsid w:val="002D3867"/>
    <w:rsid w:val="002D4271"/>
    <w:rsid w:val="002D4881"/>
    <w:rsid w:val="002D4F36"/>
    <w:rsid w:val="002E017E"/>
    <w:rsid w:val="002E4D2D"/>
    <w:rsid w:val="002E5BA1"/>
    <w:rsid w:val="002E6134"/>
    <w:rsid w:val="002F362D"/>
    <w:rsid w:val="002F3DDB"/>
    <w:rsid w:val="002F4045"/>
    <w:rsid w:val="002F6539"/>
    <w:rsid w:val="002F75AF"/>
    <w:rsid w:val="00300F25"/>
    <w:rsid w:val="003018D7"/>
    <w:rsid w:val="0030374E"/>
    <w:rsid w:val="00303AE3"/>
    <w:rsid w:val="00305058"/>
    <w:rsid w:val="00306D0B"/>
    <w:rsid w:val="00310019"/>
    <w:rsid w:val="00310245"/>
    <w:rsid w:val="003102A8"/>
    <w:rsid w:val="00312E58"/>
    <w:rsid w:val="00313AC0"/>
    <w:rsid w:val="00314EF2"/>
    <w:rsid w:val="00323C7A"/>
    <w:rsid w:val="0032454A"/>
    <w:rsid w:val="00334AD5"/>
    <w:rsid w:val="0033567F"/>
    <w:rsid w:val="00335853"/>
    <w:rsid w:val="003412B1"/>
    <w:rsid w:val="0034156D"/>
    <w:rsid w:val="00342C9D"/>
    <w:rsid w:val="00346453"/>
    <w:rsid w:val="0034781A"/>
    <w:rsid w:val="00350973"/>
    <w:rsid w:val="00351268"/>
    <w:rsid w:val="0035267C"/>
    <w:rsid w:val="003562DD"/>
    <w:rsid w:val="00356623"/>
    <w:rsid w:val="00364651"/>
    <w:rsid w:val="00367DE7"/>
    <w:rsid w:val="0037056E"/>
    <w:rsid w:val="00370AD1"/>
    <w:rsid w:val="003718E3"/>
    <w:rsid w:val="0037337E"/>
    <w:rsid w:val="0037345A"/>
    <w:rsid w:val="00374E22"/>
    <w:rsid w:val="00375F24"/>
    <w:rsid w:val="003764B7"/>
    <w:rsid w:val="00376B82"/>
    <w:rsid w:val="00377A93"/>
    <w:rsid w:val="00381E81"/>
    <w:rsid w:val="003832D8"/>
    <w:rsid w:val="00384BAC"/>
    <w:rsid w:val="00392417"/>
    <w:rsid w:val="00394F77"/>
    <w:rsid w:val="00397B02"/>
    <w:rsid w:val="00397B18"/>
    <w:rsid w:val="003A021A"/>
    <w:rsid w:val="003A041B"/>
    <w:rsid w:val="003A2E4D"/>
    <w:rsid w:val="003A37F4"/>
    <w:rsid w:val="003A472B"/>
    <w:rsid w:val="003A774B"/>
    <w:rsid w:val="003B0DF0"/>
    <w:rsid w:val="003B7F47"/>
    <w:rsid w:val="003C0AF9"/>
    <w:rsid w:val="003C1408"/>
    <w:rsid w:val="003C3ADC"/>
    <w:rsid w:val="003C6C53"/>
    <w:rsid w:val="003C7220"/>
    <w:rsid w:val="003D03E6"/>
    <w:rsid w:val="003D1AA0"/>
    <w:rsid w:val="003D1DE6"/>
    <w:rsid w:val="003D33DE"/>
    <w:rsid w:val="003D3981"/>
    <w:rsid w:val="003D61B7"/>
    <w:rsid w:val="003E2CB1"/>
    <w:rsid w:val="003E5356"/>
    <w:rsid w:val="003E5761"/>
    <w:rsid w:val="003E5E1D"/>
    <w:rsid w:val="003E6053"/>
    <w:rsid w:val="003F01CA"/>
    <w:rsid w:val="003F35BE"/>
    <w:rsid w:val="003F44F3"/>
    <w:rsid w:val="003F6AE8"/>
    <w:rsid w:val="0040060E"/>
    <w:rsid w:val="004008FA"/>
    <w:rsid w:val="00401491"/>
    <w:rsid w:val="00403DAF"/>
    <w:rsid w:val="00407AFC"/>
    <w:rsid w:val="00411875"/>
    <w:rsid w:val="0041266E"/>
    <w:rsid w:val="00412ECC"/>
    <w:rsid w:val="00413CCB"/>
    <w:rsid w:val="00414491"/>
    <w:rsid w:val="00415E5C"/>
    <w:rsid w:val="004228EF"/>
    <w:rsid w:val="0042528E"/>
    <w:rsid w:val="004266B0"/>
    <w:rsid w:val="00427C5F"/>
    <w:rsid w:val="0043028A"/>
    <w:rsid w:val="00430CCA"/>
    <w:rsid w:val="004310A0"/>
    <w:rsid w:val="004310E3"/>
    <w:rsid w:val="00431835"/>
    <w:rsid w:val="004321F7"/>
    <w:rsid w:val="004335F1"/>
    <w:rsid w:val="004349B1"/>
    <w:rsid w:val="00437418"/>
    <w:rsid w:val="00437431"/>
    <w:rsid w:val="00440384"/>
    <w:rsid w:val="00440DE0"/>
    <w:rsid w:val="0044195D"/>
    <w:rsid w:val="00444E83"/>
    <w:rsid w:val="00447AB9"/>
    <w:rsid w:val="00450108"/>
    <w:rsid w:val="0045097D"/>
    <w:rsid w:val="00451A50"/>
    <w:rsid w:val="00452662"/>
    <w:rsid w:val="004559C2"/>
    <w:rsid w:val="00456249"/>
    <w:rsid w:val="00456F5D"/>
    <w:rsid w:val="00460D68"/>
    <w:rsid w:val="00466526"/>
    <w:rsid w:val="004731D7"/>
    <w:rsid w:val="004763AF"/>
    <w:rsid w:val="004765AA"/>
    <w:rsid w:val="004768D6"/>
    <w:rsid w:val="0047690D"/>
    <w:rsid w:val="0048138E"/>
    <w:rsid w:val="00483999"/>
    <w:rsid w:val="0048731E"/>
    <w:rsid w:val="00491186"/>
    <w:rsid w:val="004920F4"/>
    <w:rsid w:val="00492B45"/>
    <w:rsid w:val="00497C23"/>
    <w:rsid w:val="004A047D"/>
    <w:rsid w:val="004A30CA"/>
    <w:rsid w:val="004A3B58"/>
    <w:rsid w:val="004A42CE"/>
    <w:rsid w:val="004A474B"/>
    <w:rsid w:val="004B3EA3"/>
    <w:rsid w:val="004B55F0"/>
    <w:rsid w:val="004B5EC8"/>
    <w:rsid w:val="004B603D"/>
    <w:rsid w:val="004B6C56"/>
    <w:rsid w:val="004C28DA"/>
    <w:rsid w:val="004C2B53"/>
    <w:rsid w:val="004C5E83"/>
    <w:rsid w:val="004D131F"/>
    <w:rsid w:val="004D2464"/>
    <w:rsid w:val="004E224E"/>
    <w:rsid w:val="004E2BA4"/>
    <w:rsid w:val="004E2C38"/>
    <w:rsid w:val="004E3D79"/>
    <w:rsid w:val="004E484D"/>
    <w:rsid w:val="004F1B2A"/>
    <w:rsid w:val="004F20A1"/>
    <w:rsid w:val="004F28DA"/>
    <w:rsid w:val="004F32C2"/>
    <w:rsid w:val="00501C64"/>
    <w:rsid w:val="00503EFA"/>
    <w:rsid w:val="0050613A"/>
    <w:rsid w:val="005109E6"/>
    <w:rsid w:val="00511D0B"/>
    <w:rsid w:val="005130E0"/>
    <w:rsid w:val="00514636"/>
    <w:rsid w:val="005163E4"/>
    <w:rsid w:val="00520B2E"/>
    <w:rsid w:val="00521853"/>
    <w:rsid w:val="00522B73"/>
    <w:rsid w:val="0052616D"/>
    <w:rsid w:val="0053029D"/>
    <w:rsid w:val="00535446"/>
    <w:rsid w:val="00536D9B"/>
    <w:rsid w:val="00540291"/>
    <w:rsid w:val="00540911"/>
    <w:rsid w:val="00543060"/>
    <w:rsid w:val="00543890"/>
    <w:rsid w:val="005464E6"/>
    <w:rsid w:val="00546639"/>
    <w:rsid w:val="005541BA"/>
    <w:rsid w:val="00554A23"/>
    <w:rsid w:val="00557C71"/>
    <w:rsid w:val="0056561F"/>
    <w:rsid w:val="00567804"/>
    <w:rsid w:val="00577F98"/>
    <w:rsid w:val="00580D9D"/>
    <w:rsid w:val="005816D9"/>
    <w:rsid w:val="005917CA"/>
    <w:rsid w:val="00592A06"/>
    <w:rsid w:val="00593540"/>
    <w:rsid w:val="0059541B"/>
    <w:rsid w:val="00595C76"/>
    <w:rsid w:val="005962BF"/>
    <w:rsid w:val="005978A3"/>
    <w:rsid w:val="005A5E89"/>
    <w:rsid w:val="005A664B"/>
    <w:rsid w:val="005B11EF"/>
    <w:rsid w:val="005B45B9"/>
    <w:rsid w:val="005B4FC1"/>
    <w:rsid w:val="005B5639"/>
    <w:rsid w:val="005B56FD"/>
    <w:rsid w:val="005B78F5"/>
    <w:rsid w:val="005C1D29"/>
    <w:rsid w:val="005C1DE1"/>
    <w:rsid w:val="005C242E"/>
    <w:rsid w:val="005C5631"/>
    <w:rsid w:val="005C6146"/>
    <w:rsid w:val="005C6390"/>
    <w:rsid w:val="005C7AE0"/>
    <w:rsid w:val="005D0375"/>
    <w:rsid w:val="005D4F4C"/>
    <w:rsid w:val="005D6222"/>
    <w:rsid w:val="005D6D99"/>
    <w:rsid w:val="005D6FCD"/>
    <w:rsid w:val="005E1405"/>
    <w:rsid w:val="005E1824"/>
    <w:rsid w:val="005E498E"/>
    <w:rsid w:val="005E55FF"/>
    <w:rsid w:val="005F190C"/>
    <w:rsid w:val="005F2872"/>
    <w:rsid w:val="005F3C2F"/>
    <w:rsid w:val="005F48DD"/>
    <w:rsid w:val="006002B2"/>
    <w:rsid w:val="00601164"/>
    <w:rsid w:val="006119A3"/>
    <w:rsid w:val="00613579"/>
    <w:rsid w:val="00615657"/>
    <w:rsid w:val="00620155"/>
    <w:rsid w:val="0063691A"/>
    <w:rsid w:val="00637427"/>
    <w:rsid w:val="00644C8F"/>
    <w:rsid w:val="00644E4A"/>
    <w:rsid w:val="006455E7"/>
    <w:rsid w:val="00647186"/>
    <w:rsid w:val="0065138E"/>
    <w:rsid w:val="006525D5"/>
    <w:rsid w:val="00652654"/>
    <w:rsid w:val="00653F24"/>
    <w:rsid w:val="006558AD"/>
    <w:rsid w:val="00656896"/>
    <w:rsid w:val="006574D6"/>
    <w:rsid w:val="006578B7"/>
    <w:rsid w:val="00661E4B"/>
    <w:rsid w:val="006658D9"/>
    <w:rsid w:val="00667431"/>
    <w:rsid w:val="0067309A"/>
    <w:rsid w:val="00673AAC"/>
    <w:rsid w:val="0067640A"/>
    <w:rsid w:val="00676B86"/>
    <w:rsid w:val="006775E4"/>
    <w:rsid w:val="00680415"/>
    <w:rsid w:val="00680BF4"/>
    <w:rsid w:val="006864DF"/>
    <w:rsid w:val="0069154F"/>
    <w:rsid w:val="00691D57"/>
    <w:rsid w:val="00691E60"/>
    <w:rsid w:val="00693363"/>
    <w:rsid w:val="006969F7"/>
    <w:rsid w:val="00696F5F"/>
    <w:rsid w:val="006A458D"/>
    <w:rsid w:val="006A5EA4"/>
    <w:rsid w:val="006A7E2A"/>
    <w:rsid w:val="006B3503"/>
    <w:rsid w:val="006B48FC"/>
    <w:rsid w:val="006B68C4"/>
    <w:rsid w:val="006C02DB"/>
    <w:rsid w:val="006C326A"/>
    <w:rsid w:val="006C3A1D"/>
    <w:rsid w:val="006C489E"/>
    <w:rsid w:val="006C4DA9"/>
    <w:rsid w:val="006C4FC5"/>
    <w:rsid w:val="006D6B79"/>
    <w:rsid w:val="006D7829"/>
    <w:rsid w:val="006E30ED"/>
    <w:rsid w:val="006E30F9"/>
    <w:rsid w:val="006E3982"/>
    <w:rsid w:val="006E44B1"/>
    <w:rsid w:val="006E46B2"/>
    <w:rsid w:val="006E4788"/>
    <w:rsid w:val="006E6187"/>
    <w:rsid w:val="006E7F58"/>
    <w:rsid w:val="006F07BF"/>
    <w:rsid w:val="006F07CD"/>
    <w:rsid w:val="006F26C1"/>
    <w:rsid w:val="006F2972"/>
    <w:rsid w:val="006F56F1"/>
    <w:rsid w:val="006F689B"/>
    <w:rsid w:val="007070E8"/>
    <w:rsid w:val="0070749C"/>
    <w:rsid w:val="00711A84"/>
    <w:rsid w:val="0071339C"/>
    <w:rsid w:val="00714E81"/>
    <w:rsid w:val="007171C2"/>
    <w:rsid w:val="007171FF"/>
    <w:rsid w:val="007178A9"/>
    <w:rsid w:val="007178DE"/>
    <w:rsid w:val="0072113D"/>
    <w:rsid w:val="00722435"/>
    <w:rsid w:val="0072281C"/>
    <w:rsid w:val="007234B5"/>
    <w:rsid w:val="0072368F"/>
    <w:rsid w:val="007253E3"/>
    <w:rsid w:val="0072645B"/>
    <w:rsid w:val="00726DC4"/>
    <w:rsid w:val="00734DED"/>
    <w:rsid w:val="0073509E"/>
    <w:rsid w:val="007357D8"/>
    <w:rsid w:val="00737C0C"/>
    <w:rsid w:val="00741A58"/>
    <w:rsid w:val="00742CF1"/>
    <w:rsid w:val="0074412F"/>
    <w:rsid w:val="007449F2"/>
    <w:rsid w:val="007535A1"/>
    <w:rsid w:val="00754171"/>
    <w:rsid w:val="0075438D"/>
    <w:rsid w:val="00756F1A"/>
    <w:rsid w:val="00762AEF"/>
    <w:rsid w:val="00764A0B"/>
    <w:rsid w:val="00765FB0"/>
    <w:rsid w:val="00767936"/>
    <w:rsid w:val="00770F53"/>
    <w:rsid w:val="007767FC"/>
    <w:rsid w:val="0078032F"/>
    <w:rsid w:val="00780D8A"/>
    <w:rsid w:val="007819D0"/>
    <w:rsid w:val="00784C2E"/>
    <w:rsid w:val="00785EBE"/>
    <w:rsid w:val="0079371C"/>
    <w:rsid w:val="00793BAB"/>
    <w:rsid w:val="00796B0C"/>
    <w:rsid w:val="007A06F5"/>
    <w:rsid w:val="007A1515"/>
    <w:rsid w:val="007A21D3"/>
    <w:rsid w:val="007B0D50"/>
    <w:rsid w:val="007B1EB7"/>
    <w:rsid w:val="007B4B6C"/>
    <w:rsid w:val="007B4CD4"/>
    <w:rsid w:val="007B542D"/>
    <w:rsid w:val="007B5DB6"/>
    <w:rsid w:val="007B606E"/>
    <w:rsid w:val="007C3C20"/>
    <w:rsid w:val="007C7FCD"/>
    <w:rsid w:val="007D0147"/>
    <w:rsid w:val="007D4B19"/>
    <w:rsid w:val="007D58E6"/>
    <w:rsid w:val="007D73AB"/>
    <w:rsid w:val="007D792F"/>
    <w:rsid w:val="007D7B20"/>
    <w:rsid w:val="007E011B"/>
    <w:rsid w:val="007E3224"/>
    <w:rsid w:val="007E3AC7"/>
    <w:rsid w:val="007E4D98"/>
    <w:rsid w:val="007E68DF"/>
    <w:rsid w:val="007E7553"/>
    <w:rsid w:val="007E7EF4"/>
    <w:rsid w:val="007F07AA"/>
    <w:rsid w:val="007F46CE"/>
    <w:rsid w:val="007F4CC9"/>
    <w:rsid w:val="007F63EB"/>
    <w:rsid w:val="007F65CB"/>
    <w:rsid w:val="00802352"/>
    <w:rsid w:val="0080379C"/>
    <w:rsid w:val="0080645D"/>
    <w:rsid w:val="00806E85"/>
    <w:rsid w:val="00807A19"/>
    <w:rsid w:val="00813DCB"/>
    <w:rsid w:val="00814890"/>
    <w:rsid w:val="00816A7E"/>
    <w:rsid w:val="0082537A"/>
    <w:rsid w:val="008264C4"/>
    <w:rsid w:val="008303AD"/>
    <w:rsid w:val="008431DD"/>
    <w:rsid w:val="00843585"/>
    <w:rsid w:val="0084473F"/>
    <w:rsid w:val="008476B0"/>
    <w:rsid w:val="00850429"/>
    <w:rsid w:val="008506F1"/>
    <w:rsid w:val="0085160A"/>
    <w:rsid w:val="00852202"/>
    <w:rsid w:val="008526D2"/>
    <w:rsid w:val="00852F4C"/>
    <w:rsid w:val="00853F64"/>
    <w:rsid w:val="00854107"/>
    <w:rsid w:val="008545B2"/>
    <w:rsid w:val="00856CC4"/>
    <w:rsid w:val="008578D9"/>
    <w:rsid w:val="0086063D"/>
    <w:rsid w:val="008607BB"/>
    <w:rsid w:val="00862303"/>
    <w:rsid w:val="0086245F"/>
    <w:rsid w:val="00862BED"/>
    <w:rsid w:val="00864376"/>
    <w:rsid w:val="008655B9"/>
    <w:rsid w:val="0087549B"/>
    <w:rsid w:val="00877636"/>
    <w:rsid w:val="00880AD2"/>
    <w:rsid w:val="00882153"/>
    <w:rsid w:val="008846AA"/>
    <w:rsid w:val="00886486"/>
    <w:rsid w:val="0089292F"/>
    <w:rsid w:val="00895BAF"/>
    <w:rsid w:val="00897D90"/>
    <w:rsid w:val="008A0DE7"/>
    <w:rsid w:val="008A1CB8"/>
    <w:rsid w:val="008A2D37"/>
    <w:rsid w:val="008A3A7C"/>
    <w:rsid w:val="008A3FDB"/>
    <w:rsid w:val="008A53CE"/>
    <w:rsid w:val="008A7862"/>
    <w:rsid w:val="008B17C8"/>
    <w:rsid w:val="008B710F"/>
    <w:rsid w:val="008C0890"/>
    <w:rsid w:val="008C1D00"/>
    <w:rsid w:val="008C39F2"/>
    <w:rsid w:val="008C64C5"/>
    <w:rsid w:val="008C6719"/>
    <w:rsid w:val="008C72E9"/>
    <w:rsid w:val="008C7A03"/>
    <w:rsid w:val="008D1006"/>
    <w:rsid w:val="008D506D"/>
    <w:rsid w:val="008D5E3B"/>
    <w:rsid w:val="008D67A5"/>
    <w:rsid w:val="008D67AF"/>
    <w:rsid w:val="008E03E5"/>
    <w:rsid w:val="008E0C43"/>
    <w:rsid w:val="008E141A"/>
    <w:rsid w:val="008E2454"/>
    <w:rsid w:val="008E4EF4"/>
    <w:rsid w:val="008E53CE"/>
    <w:rsid w:val="008F01EC"/>
    <w:rsid w:val="008F3384"/>
    <w:rsid w:val="008F53D7"/>
    <w:rsid w:val="0090024A"/>
    <w:rsid w:val="00906B78"/>
    <w:rsid w:val="009106DF"/>
    <w:rsid w:val="009127C1"/>
    <w:rsid w:val="00913553"/>
    <w:rsid w:val="00913B59"/>
    <w:rsid w:val="00915D2F"/>
    <w:rsid w:val="009218F1"/>
    <w:rsid w:val="009225F4"/>
    <w:rsid w:val="00922D6C"/>
    <w:rsid w:val="009361F9"/>
    <w:rsid w:val="009407F3"/>
    <w:rsid w:val="009472A2"/>
    <w:rsid w:val="00951857"/>
    <w:rsid w:val="009519D8"/>
    <w:rsid w:val="00952ECD"/>
    <w:rsid w:val="00957990"/>
    <w:rsid w:val="00960C74"/>
    <w:rsid w:val="0096169F"/>
    <w:rsid w:val="0096191D"/>
    <w:rsid w:val="00962525"/>
    <w:rsid w:val="00962FC1"/>
    <w:rsid w:val="00964951"/>
    <w:rsid w:val="00967080"/>
    <w:rsid w:val="00970A19"/>
    <w:rsid w:val="00970D78"/>
    <w:rsid w:val="00973EA2"/>
    <w:rsid w:val="00974698"/>
    <w:rsid w:val="009777D9"/>
    <w:rsid w:val="00977FCA"/>
    <w:rsid w:val="00980FB6"/>
    <w:rsid w:val="00982021"/>
    <w:rsid w:val="00985847"/>
    <w:rsid w:val="00985DF2"/>
    <w:rsid w:val="009932E2"/>
    <w:rsid w:val="00994244"/>
    <w:rsid w:val="009A003A"/>
    <w:rsid w:val="009A1279"/>
    <w:rsid w:val="009A170A"/>
    <w:rsid w:val="009A1A3D"/>
    <w:rsid w:val="009A2D9B"/>
    <w:rsid w:val="009A33B4"/>
    <w:rsid w:val="009A7FE9"/>
    <w:rsid w:val="009B39D5"/>
    <w:rsid w:val="009B4960"/>
    <w:rsid w:val="009B5B00"/>
    <w:rsid w:val="009B5FBA"/>
    <w:rsid w:val="009B68DD"/>
    <w:rsid w:val="009B6A4D"/>
    <w:rsid w:val="009B73F5"/>
    <w:rsid w:val="009B74A2"/>
    <w:rsid w:val="009C0984"/>
    <w:rsid w:val="009C0F5B"/>
    <w:rsid w:val="009C0FE7"/>
    <w:rsid w:val="009C1C8B"/>
    <w:rsid w:val="009C2DE8"/>
    <w:rsid w:val="009C3E75"/>
    <w:rsid w:val="009C6FFC"/>
    <w:rsid w:val="009C73AA"/>
    <w:rsid w:val="009D05F2"/>
    <w:rsid w:val="009D1561"/>
    <w:rsid w:val="009D2E70"/>
    <w:rsid w:val="009D50CC"/>
    <w:rsid w:val="009D5450"/>
    <w:rsid w:val="009D591C"/>
    <w:rsid w:val="009D7263"/>
    <w:rsid w:val="009E0CE9"/>
    <w:rsid w:val="009E4761"/>
    <w:rsid w:val="009E5352"/>
    <w:rsid w:val="009E5B26"/>
    <w:rsid w:val="009F04CE"/>
    <w:rsid w:val="009F1F60"/>
    <w:rsid w:val="009F2C6C"/>
    <w:rsid w:val="009F579D"/>
    <w:rsid w:val="009F7939"/>
    <w:rsid w:val="00A04850"/>
    <w:rsid w:val="00A10504"/>
    <w:rsid w:val="00A12163"/>
    <w:rsid w:val="00A149AA"/>
    <w:rsid w:val="00A14E2F"/>
    <w:rsid w:val="00A15A68"/>
    <w:rsid w:val="00A174D8"/>
    <w:rsid w:val="00A23313"/>
    <w:rsid w:val="00A269AF"/>
    <w:rsid w:val="00A30BC2"/>
    <w:rsid w:val="00A31BFE"/>
    <w:rsid w:val="00A3575A"/>
    <w:rsid w:val="00A36586"/>
    <w:rsid w:val="00A4045C"/>
    <w:rsid w:val="00A41E59"/>
    <w:rsid w:val="00A42877"/>
    <w:rsid w:val="00A42E19"/>
    <w:rsid w:val="00A46211"/>
    <w:rsid w:val="00A46483"/>
    <w:rsid w:val="00A4760A"/>
    <w:rsid w:val="00A504A6"/>
    <w:rsid w:val="00A50CA0"/>
    <w:rsid w:val="00A51200"/>
    <w:rsid w:val="00A533A3"/>
    <w:rsid w:val="00A568B4"/>
    <w:rsid w:val="00A5769F"/>
    <w:rsid w:val="00A615ED"/>
    <w:rsid w:val="00A61FB4"/>
    <w:rsid w:val="00A67E3A"/>
    <w:rsid w:val="00A71123"/>
    <w:rsid w:val="00A71504"/>
    <w:rsid w:val="00A73B07"/>
    <w:rsid w:val="00A75148"/>
    <w:rsid w:val="00A77378"/>
    <w:rsid w:val="00A825A9"/>
    <w:rsid w:val="00A8393D"/>
    <w:rsid w:val="00A84BEE"/>
    <w:rsid w:val="00A86B19"/>
    <w:rsid w:val="00A9196C"/>
    <w:rsid w:val="00A932E6"/>
    <w:rsid w:val="00AA13B9"/>
    <w:rsid w:val="00AA276A"/>
    <w:rsid w:val="00AB150B"/>
    <w:rsid w:val="00AB1D97"/>
    <w:rsid w:val="00AB5C06"/>
    <w:rsid w:val="00AB6D73"/>
    <w:rsid w:val="00AC55D8"/>
    <w:rsid w:val="00AC5848"/>
    <w:rsid w:val="00AC6C83"/>
    <w:rsid w:val="00AC7CF0"/>
    <w:rsid w:val="00AD2C64"/>
    <w:rsid w:val="00AD66BD"/>
    <w:rsid w:val="00AD7359"/>
    <w:rsid w:val="00AE1A49"/>
    <w:rsid w:val="00AF2211"/>
    <w:rsid w:val="00AF2802"/>
    <w:rsid w:val="00B00B29"/>
    <w:rsid w:val="00B00CAF"/>
    <w:rsid w:val="00B046B5"/>
    <w:rsid w:val="00B05362"/>
    <w:rsid w:val="00B07034"/>
    <w:rsid w:val="00B1489A"/>
    <w:rsid w:val="00B15333"/>
    <w:rsid w:val="00B15B0D"/>
    <w:rsid w:val="00B16FB3"/>
    <w:rsid w:val="00B21718"/>
    <w:rsid w:val="00B2220B"/>
    <w:rsid w:val="00B241B1"/>
    <w:rsid w:val="00B25519"/>
    <w:rsid w:val="00B26365"/>
    <w:rsid w:val="00B30623"/>
    <w:rsid w:val="00B35842"/>
    <w:rsid w:val="00B41657"/>
    <w:rsid w:val="00B41DBC"/>
    <w:rsid w:val="00B4212A"/>
    <w:rsid w:val="00B42297"/>
    <w:rsid w:val="00B42AD6"/>
    <w:rsid w:val="00B43F2B"/>
    <w:rsid w:val="00B46CE2"/>
    <w:rsid w:val="00B4757D"/>
    <w:rsid w:val="00B47C06"/>
    <w:rsid w:val="00B47F7C"/>
    <w:rsid w:val="00B50DBA"/>
    <w:rsid w:val="00B51C6A"/>
    <w:rsid w:val="00B527E8"/>
    <w:rsid w:val="00B55B2D"/>
    <w:rsid w:val="00B55D12"/>
    <w:rsid w:val="00B568F7"/>
    <w:rsid w:val="00B64D08"/>
    <w:rsid w:val="00B66A91"/>
    <w:rsid w:val="00B7160B"/>
    <w:rsid w:val="00B7160F"/>
    <w:rsid w:val="00B72089"/>
    <w:rsid w:val="00B726E2"/>
    <w:rsid w:val="00B74A32"/>
    <w:rsid w:val="00B74F91"/>
    <w:rsid w:val="00B752AC"/>
    <w:rsid w:val="00B75C27"/>
    <w:rsid w:val="00B75CB4"/>
    <w:rsid w:val="00B80379"/>
    <w:rsid w:val="00B82ED2"/>
    <w:rsid w:val="00B839AB"/>
    <w:rsid w:val="00B839E0"/>
    <w:rsid w:val="00B855FA"/>
    <w:rsid w:val="00B87509"/>
    <w:rsid w:val="00B91675"/>
    <w:rsid w:val="00B9520A"/>
    <w:rsid w:val="00B96A4C"/>
    <w:rsid w:val="00B96E42"/>
    <w:rsid w:val="00BA113A"/>
    <w:rsid w:val="00BA39D5"/>
    <w:rsid w:val="00BA4A89"/>
    <w:rsid w:val="00BA4EC5"/>
    <w:rsid w:val="00BA7286"/>
    <w:rsid w:val="00BA790B"/>
    <w:rsid w:val="00BB0747"/>
    <w:rsid w:val="00BB269C"/>
    <w:rsid w:val="00BB2FCC"/>
    <w:rsid w:val="00BB3C02"/>
    <w:rsid w:val="00BB40B5"/>
    <w:rsid w:val="00BB5DFF"/>
    <w:rsid w:val="00BC149B"/>
    <w:rsid w:val="00BC1873"/>
    <w:rsid w:val="00BC19DF"/>
    <w:rsid w:val="00BC659F"/>
    <w:rsid w:val="00BD0DA3"/>
    <w:rsid w:val="00BD1819"/>
    <w:rsid w:val="00BD1C67"/>
    <w:rsid w:val="00BD21A5"/>
    <w:rsid w:val="00BD26CB"/>
    <w:rsid w:val="00BD4B9F"/>
    <w:rsid w:val="00BD558A"/>
    <w:rsid w:val="00BD642E"/>
    <w:rsid w:val="00BE2B5A"/>
    <w:rsid w:val="00BE5171"/>
    <w:rsid w:val="00BE6807"/>
    <w:rsid w:val="00BF1C5A"/>
    <w:rsid w:val="00BF2DE8"/>
    <w:rsid w:val="00BF5DBE"/>
    <w:rsid w:val="00C046E5"/>
    <w:rsid w:val="00C054B2"/>
    <w:rsid w:val="00C10289"/>
    <w:rsid w:val="00C10FC6"/>
    <w:rsid w:val="00C14CD6"/>
    <w:rsid w:val="00C16463"/>
    <w:rsid w:val="00C1692B"/>
    <w:rsid w:val="00C20BBC"/>
    <w:rsid w:val="00C21FA5"/>
    <w:rsid w:val="00C23A57"/>
    <w:rsid w:val="00C31343"/>
    <w:rsid w:val="00C33AE1"/>
    <w:rsid w:val="00C345F6"/>
    <w:rsid w:val="00C375A3"/>
    <w:rsid w:val="00C4049B"/>
    <w:rsid w:val="00C40B03"/>
    <w:rsid w:val="00C41669"/>
    <w:rsid w:val="00C44821"/>
    <w:rsid w:val="00C4600D"/>
    <w:rsid w:val="00C5155A"/>
    <w:rsid w:val="00C54481"/>
    <w:rsid w:val="00C5736C"/>
    <w:rsid w:val="00C65CB1"/>
    <w:rsid w:val="00C70C8B"/>
    <w:rsid w:val="00C739C2"/>
    <w:rsid w:val="00C77D26"/>
    <w:rsid w:val="00C804DB"/>
    <w:rsid w:val="00C818C8"/>
    <w:rsid w:val="00C86FAB"/>
    <w:rsid w:val="00C879DA"/>
    <w:rsid w:val="00C94451"/>
    <w:rsid w:val="00C9589D"/>
    <w:rsid w:val="00C95A5F"/>
    <w:rsid w:val="00CA15BD"/>
    <w:rsid w:val="00CA19B6"/>
    <w:rsid w:val="00CA2FA0"/>
    <w:rsid w:val="00CA4E23"/>
    <w:rsid w:val="00CA57FD"/>
    <w:rsid w:val="00CA7BA1"/>
    <w:rsid w:val="00CA7CAE"/>
    <w:rsid w:val="00CB259A"/>
    <w:rsid w:val="00CB3963"/>
    <w:rsid w:val="00CB3B8A"/>
    <w:rsid w:val="00CB4D84"/>
    <w:rsid w:val="00CC0B77"/>
    <w:rsid w:val="00CC229B"/>
    <w:rsid w:val="00CC334A"/>
    <w:rsid w:val="00CC4011"/>
    <w:rsid w:val="00CC4540"/>
    <w:rsid w:val="00CC6730"/>
    <w:rsid w:val="00CD052D"/>
    <w:rsid w:val="00CD06F4"/>
    <w:rsid w:val="00CD632A"/>
    <w:rsid w:val="00CD646B"/>
    <w:rsid w:val="00CE03B5"/>
    <w:rsid w:val="00CE269A"/>
    <w:rsid w:val="00CE2C36"/>
    <w:rsid w:val="00CE70E3"/>
    <w:rsid w:val="00CE7A75"/>
    <w:rsid w:val="00CF149B"/>
    <w:rsid w:val="00CF2A24"/>
    <w:rsid w:val="00CF349F"/>
    <w:rsid w:val="00CF4498"/>
    <w:rsid w:val="00CF49E5"/>
    <w:rsid w:val="00CF5624"/>
    <w:rsid w:val="00CF5674"/>
    <w:rsid w:val="00CF64B2"/>
    <w:rsid w:val="00CF673F"/>
    <w:rsid w:val="00D01141"/>
    <w:rsid w:val="00D0210C"/>
    <w:rsid w:val="00D0450C"/>
    <w:rsid w:val="00D055C1"/>
    <w:rsid w:val="00D056D9"/>
    <w:rsid w:val="00D07255"/>
    <w:rsid w:val="00D12307"/>
    <w:rsid w:val="00D1244B"/>
    <w:rsid w:val="00D12577"/>
    <w:rsid w:val="00D15C22"/>
    <w:rsid w:val="00D165F3"/>
    <w:rsid w:val="00D22586"/>
    <w:rsid w:val="00D227A5"/>
    <w:rsid w:val="00D264DE"/>
    <w:rsid w:val="00D27880"/>
    <w:rsid w:val="00D27DEB"/>
    <w:rsid w:val="00D367C1"/>
    <w:rsid w:val="00D409B8"/>
    <w:rsid w:val="00D410A4"/>
    <w:rsid w:val="00D417FB"/>
    <w:rsid w:val="00D43F17"/>
    <w:rsid w:val="00D442DE"/>
    <w:rsid w:val="00D44DD3"/>
    <w:rsid w:val="00D47439"/>
    <w:rsid w:val="00D54967"/>
    <w:rsid w:val="00D54F98"/>
    <w:rsid w:val="00D558A1"/>
    <w:rsid w:val="00D6049C"/>
    <w:rsid w:val="00D61B5C"/>
    <w:rsid w:val="00D6402E"/>
    <w:rsid w:val="00D70397"/>
    <w:rsid w:val="00D70414"/>
    <w:rsid w:val="00D70F05"/>
    <w:rsid w:val="00D710CA"/>
    <w:rsid w:val="00D76C4D"/>
    <w:rsid w:val="00D76D56"/>
    <w:rsid w:val="00D81CFC"/>
    <w:rsid w:val="00D82EB8"/>
    <w:rsid w:val="00D8474E"/>
    <w:rsid w:val="00D86D13"/>
    <w:rsid w:val="00D91AE7"/>
    <w:rsid w:val="00D91BEE"/>
    <w:rsid w:val="00DA2C2B"/>
    <w:rsid w:val="00DA7925"/>
    <w:rsid w:val="00DB264D"/>
    <w:rsid w:val="00DB38A1"/>
    <w:rsid w:val="00DC25A4"/>
    <w:rsid w:val="00DC270A"/>
    <w:rsid w:val="00DC719A"/>
    <w:rsid w:val="00DC77F6"/>
    <w:rsid w:val="00DC7879"/>
    <w:rsid w:val="00DD033F"/>
    <w:rsid w:val="00DD0462"/>
    <w:rsid w:val="00DD2C83"/>
    <w:rsid w:val="00DD6CFB"/>
    <w:rsid w:val="00DE0231"/>
    <w:rsid w:val="00DE14E0"/>
    <w:rsid w:val="00DE1D22"/>
    <w:rsid w:val="00DE26E9"/>
    <w:rsid w:val="00DE74A8"/>
    <w:rsid w:val="00DE78BB"/>
    <w:rsid w:val="00DE78DC"/>
    <w:rsid w:val="00DF12D3"/>
    <w:rsid w:val="00DF33A1"/>
    <w:rsid w:val="00DF3A30"/>
    <w:rsid w:val="00E00470"/>
    <w:rsid w:val="00E00D87"/>
    <w:rsid w:val="00E00DCF"/>
    <w:rsid w:val="00E0282B"/>
    <w:rsid w:val="00E0351D"/>
    <w:rsid w:val="00E05DF7"/>
    <w:rsid w:val="00E079CB"/>
    <w:rsid w:val="00E1023B"/>
    <w:rsid w:val="00E1090E"/>
    <w:rsid w:val="00E11833"/>
    <w:rsid w:val="00E11994"/>
    <w:rsid w:val="00E1327E"/>
    <w:rsid w:val="00E14AD8"/>
    <w:rsid w:val="00E163A7"/>
    <w:rsid w:val="00E16455"/>
    <w:rsid w:val="00E166BD"/>
    <w:rsid w:val="00E1734D"/>
    <w:rsid w:val="00E2047C"/>
    <w:rsid w:val="00E20508"/>
    <w:rsid w:val="00E210A1"/>
    <w:rsid w:val="00E22C10"/>
    <w:rsid w:val="00E23536"/>
    <w:rsid w:val="00E276C4"/>
    <w:rsid w:val="00E301C4"/>
    <w:rsid w:val="00E30984"/>
    <w:rsid w:val="00E32DCD"/>
    <w:rsid w:val="00E32DE0"/>
    <w:rsid w:val="00E32E22"/>
    <w:rsid w:val="00E349B3"/>
    <w:rsid w:val="00E372E5"/>
    <w:rsid w:val="00E37F1B"/>
    <w:rsid w:val="00E46534"/>
    <w:rsid w:val="00E5114A"/>
    <w:rsid w:val="00E5690F"/>
    <w:rsid w:val="00E57C83"/>
    <w:rsid w:val="00E604C4"/>
    <w:rsid w:val="00E606B5"/>
    <w:rsid w:val="00E60E37"/>
    <w:rsid w:val="00E61D9D"/>
    <w:rsid w:val="00E626FF"/>
    <w:rsid w:val="00E627FB"/>
    <w:rsid w:val="00E635D7"/>
    <w:rsid w:val="00E63BA4"/>
    <w:rsid w:val="00E6438D"/>
    <w:rsid w:val="00E64ECF"/>
    <w:rsid w:val="00E67C7A"/>
    <w:rsid w:val="00E704B7"/>
    <w:rsid w:val="00E70FC6"/>
    <w:rsid w:val="00E71513"/>
    <w:rsid w:val="00E73E06"/>
    <w:rsid w:val="00E761E9"/>
    <w:rsid w:val="00E77285"/>
    <w:rsid w:val="00E810EA"/>
    <w:rsid w:val="00E817FC"/>
    <w:rsid w:val="00E83321"/>
    <w:rsid w:val="00E83B98"/>
    <w:rsid w:val="00E84105"/>
    <w:rsid w:val="00E843B1"/>
    <w:rsid w:val="00E85E11"/>
    <w:rsid w:val="00E87583"/>
    <w:rsid w:val="00E94B1C"/>
    <w:rsid w:val="00EA3358"/>
    <w:rsid w:val="00EA3E7A"/>
    <w:rsid w:val="00EA4EFA"/>
    <w:rsid w:val="00EA7EC1"/>
    <w:rsid w:val="00EB06E2"/>
    <w:rsid w:val="00EB1333"/>
    <w:rsid w:val="00EB1A16"/>
    <w:rsid w:val="00EB3B03"/>
    <w:rsid w:val="00EB4A60"/>
    <w:rsid w:val="00EB68AC"/>
    <w:rsid w:val="00EB6F57"/>
    <w:rsid w:val="00EB70D0"/>
    <w:rsid w:val="00EC2440"/>
    <w:rsid w:val="00EC5546"/>
    <w:rsid w:val="00EC5FFD"/>
    <w:rsid w:val="00ED2588"/>
    <w:rsid w:val="00ED4123"/>
    <w:rsid w:val="00ED48D1"/>
    <w:rsid w:val="00ED5103"/>
    <w:rsid w:val="00ED6CD4"/>
    <w:rsid w:val="00EE0721"/>
    <w:rsid w:val="00EE25E4"/>
    <w:rsid w:val="00EE4137"/>
    <w:rsid w:val="00EE6FDE"/>
    <w:rsid w:val="00EE7A00"/>
    <w:rsid w:val="00EF4020"/>
    <w:rsid w:val="00EF5158"/>
    <w:rsid w:val="00EF60AE"/>
    <w:rsid w:val="00EF68C2"/>
    <w:rsid w:val="00F00513"/>
    <w:rsid w:val="00F030E1"/>
    <w:rsid w:val="00F04B7A"/>
    <w:rsid w:val="00F060AA"/>
    <w:rsid w:val="00F06626"/>
    <w:rsid w:val="00F11A59"/>
    <w:rsid w:val="00F14AC9"/>
    <w:rsid w:val="00F14F73"/>
    <w:rsid w:val="00F15592"/>
    <w:rsid w:val="00F15F56"/>
    <w:rsid w:val="00F207E0"/>
    <w:rsid w:val="00F21186"/>
    <w:rsid w:val="00F215AC"/>
    <w:rsid w:val="00F22929"/>
    <w:rsid w:val="00F22A3F"/>
    <w:rsid w:val="00F22C29"/>
    <w:rsid w:val="00F22DAE"/>
    <w:rsid w:val="00F233C2"/>
    <w:rsid w:val="00F2708C"/>
    <w:rsid w:val="00F276D2"/>
    <w:rsid w:val="00F27966"/>
    <w:rsid w:val="00F30057"/>
    <w:rsid w:val="00F323AC"/>
    <w:rsid w:val="00F32F29"/>
    <w:rsid w:val="00F34D20"/>
    <w:rsid w:val="00F40E89"/>
    <w:rsid w:val="00F41B55"/>
    <w:rsid w:val="00F4356D"/>
    <w:rsid w:val="00F46653"/>
    <w:rsid w:val="00F50D7A"/>
    <w:rsid w:val="00F5114F"/>
    <w:rsid w:val="00F52160"/>
    <w:rsid w:val="00F607E9"/>
    <w:rsid w:val="00F61A9B"/>
    <w:rsid w:val="00F6303A"/>
    <w:rsid w:val="00F637EC"/>
    <w:rsid w:val="00F72BC6"/>
    <w:rsid w:val="00F74D92"/>
    <w:rsid w:val="00F74E91"/>
    <w:rsid w:val="00F765AC"/>
    <w:rsid w:val="00F774A1"/>
    <w:rsid w:val="00F83432"/>
    <w:rsid w:val="00FA188F"/>
    <w:rsid w:val="00FA2B45"/>
    <w:rsid w:val="00FA3521"/>
    <w:rsid w:val="00FA4618"/>
    <w:rsid w:val="00FA5C6A"/>
    <w:rsid w:val="00FA70BC"/>
    <w:rsid w:val="00FB04CE"/>
    <w:rsid w:val="00FB17CB"/>
    <w:rsid w:val="00FB3D43"/>
    <w:rsid w:val="00FB5615"/>
    <w:rsid w:val="00FC111C"/>
    <w:rsid w:val="00FC36D8"/>
    <w:rsid w:val="00FC60FE"/>
    <w:rsid w:val="00FC6538"/>
    <w:rsid w:val="00FC6BBD"/>
    <w:rsid w:val="00FC7642"/>
    <w:rsid w:val="00FD04B8"/>
    <w:rsid w:val="00FD161B"/>
    <w:rsid w:val="00FD6542"/>
    <w:rsid w:val="00FD6CF8"/>
    <w:rsid w:val="00FD7C99"/>
    <w:rsid w:val="00FE06E7"/>
    <w:rsid w:val="00FE1148"/>
    <w:rsid w:val="00FE232D"/>
    <w:rsid w:val="00FE2B1F"/>
    <w:rsid w:val="00FE3ED7"/>
    <w:rsid w:val="00FE45E3"/>
    <w:rsid w:val="00FE4851"/>
    <w:rsid w:val="00FE4C70"/>
    <w:rsid w:val="00FF0EE3"/>
    <w:rsid w:val="00FF12AA"/>
    <w:rsid w:val="00FF3A0C"/>
    <w:rsid w:val="00FF3FC9"/>
    <w:rsid w:val="011B2EF3"/>
    <w:rsid w:val="0121219D"/>
    <w:rsid w:val="012934DF"/>
    <w:rsid w:val="01700299"/>
    <w:rsid w:val="01773D33"/>
    <w:rsid w:val="01D33DEE"/>
    <w:rsid w:val="01D84109"/>
    <w:rsid w:val="01E565FA"/>
    <w:rsid w:val="01F00AC2"/>
    <w:rsid w:val="01F11CD3"/>
    <w:rsid w:val="01FC71A2"/>
    <w:rsid w:val="020D12E8"/>
    <w:rsid w:val="020F73BC"/>
    <w:rsid w:val="02154663"/>
    <w:rsid w:val="021D3AD7"/>
    <w:rsid w:val="02292863"/>
    <w:rsid w:val="0239693F"/>
    <w:rsid w:val="02396FCD"/>
    <w:rsid w:val="023A042F"/>
    <w:rsid w:val="025010BB"/>
    <w:rsid w:val="02546B6C"/>
    <w:rsid w:val="026003DA"/>
    <w:rsid w:val="02624499"/>
    <w:rsid w:val="02715B4D"/>
    <w:rsid w:val="029765F9"/>
    <w:rsid w:val="029A5126"/>
    <w:rsid w:val="02AA0CA2"/>
    <w:rsid w:val="02AF39C0"/>
    <w:rsid w:val="02BA7E47"/>
    <w:rsid w:val="02CB7017"/>
    <w:rsid w:val="030666BA"/>
    <w:rsid w:val="031A6D92"/>
    <w:rsid w:val="03226A50"/>
    <w:rsid w:val="03277754"/>
    <w:rsid w:val="032F4B07"/>
    <w:rsid w:val="033739F4"/>
    <w:rsid w:val="03421F3D"/>
    <w:rsid w:val="03530C3E"/>
    <w:rsid w:val="0358318B"/>
    <w:rsid w:val="0364037C"/>
    <w:rsid w:val="03B37E7E"/>
    <w:rsid w:val="03C44F96"/>
    <w:rsid w:val="03D4435D"/>
    <w:rsid w:val="03E10EBA"/>
    <w:rsid w:val="03F655EE"/>
    <w:rsid w:val="03FB6ACD"/>
    <w:rsid w:val="040A519A"/>
    <w:rsid w:val="042664DE"/>
    <w:rsid w:val="043A4F1F"/>
    <w:rsid w:val="0446362D"/>
    <w:rsid w:val="044D2DAF"/>
    <w:rsid w:val="04835A11"/>
    <w:rsid w:val="04B94F4D"/>
    <w:rsid w:val="04BD060A"/>
    <w:rsid w:val="04C21344"/>
    <w:rsid w:val="04C64F98"/>
    <w:rsid w:val="04CF7527"/>
    <w:rsid w:val="05006293"/>
    <w:rsid w:val="05454338"/>
    <w:rsid w:val="054C7DF3"/>
    <w:rsid w:val="055061BA"/>
    <w:rsid w:val="05540244"/>
    <w:rsid w:val="055B4B8B"/>
    <w:rsid w:val="056535ED"/>
    <w:rsid w:val="05691207"/>
    <w:rsid w:val="059D332D"/>
    <w:rsid w:val="05E77817"/>
    <w:rsid w:val="06003026"/>
    <w:rsid w:val="061D2A2B"/>
    <w:rsid w:val="063377E3"/>
    <w:rsid w:val="065151B1"/>
    <w:rsid w:val="065774A8"/>
    <w:rsid w:val="068A7A23"/>
    <w:rsid w:val="068C5923"/>
    <w:rsid w:val="068E5220"/>
    <w:rsid w:val="068F0F84"/>
    <w:rsid w:val="06BE3F24"/>
    <w:rsid w:val="06D0071C"/>
    <w:rsid w:val="06D93FCE"/>
    <w:rsid w:val="06D949CD"/>
    <w:rsid w:val="06F5792D"/>
    <w:rsid w:val="06F64C71"/>
    <w:rsid w:val="07172033"/>
    <w:rsid w:val="071A3AB3"/>
    <w:rsid w:val="07205A43"/>
    <w:rsid w:val="07291576"/>
    <w:rsid w:val="07381048"/>
    <w:rsid w:val="074E5984"/>
    <w:rsid w:val="075762A6"/>
    <w:rsid w:val="076619AB"/>
    <w:rsid w:val="076F60EA"/>
    <w:rsid w:val="0777075D"/>
    <w:rsid w:val="077917A3"/>
    <w:rsid w:val="077C11EF"/>
    <w:rsid w:val="077D68B7"/>
    <w:rsid w:val="078D0487"/>
    <w:rsid w:val="07961A66"/>
    <w:rsid w:val="07984741"/>
    <w:rsid w:val="07986C5C"/>
    <w:rsid w:val="079A4EB2"/>
    <w:rsid w:val="07A0722B"/>
    <w:rsid w:val="07DF146F"/>
    <w:rsid w:val="07EE3732"/>
    <w:rsid w:val="08007EE8"/>
    <w:rsid w:val="08091A30"/>
    <w:rsid w:val="082A6EDF"/>
    <w:rsid w:val="08490522"/>
    <w:rsid w:val="086F2B79"/>
    <w:rsid w:val="0870402C"/>
    <w:rsid w:val="0880218A"/>
    <w:rsid w:val="08B32388"/>
    <w:rsid w:val="08CB2335"/>
    <w:rsid w:val="08E77B26"/>
    <w:rsid w:val="091E7CF5"/>
    <w:rsid w:val="095143CF"/>
    <w:rsid w:val="097A7C6C"/>
    <w:rsid w:val="097C48EB"/>
    <w:rsid w:val="0980646B"/>
    <w:rsid w:val="09835504"/>
    <w:rsid w:val="09A114D9"/>
    <w:rsid w:val="09B12843"/>
    <w:rsid w:val="09DC6E5C"/>
    <w:rsid w:val="09DE6C10"/>
    <w:rsid w:val="0A0861AD"/>
    <w:rsid w:val="0A14100E"/>
    <w:rsid w:val="0A22297D"/>
    <w:rsid w:val="0A3C249E"/>
    <w:rsid w:val="0A886976"/>
    <w:rsid w:val="0A9305A8"/>
    <w:rsid w:val="0AA15FCA"/>
    <w:rsid w:val="0AC67254"/>
    <w:rsid w:val="0ACD63C7"/>
    <w:rsid w:val="0AE40E92"/>
    <w:rsid w:val="0B1308F6"/>
    <w:rsid w:val="0B253205"/>
    <w:rsid w:val="0B31468D"/>
    <w:rsid w:val="0B34123C"/>
    <w:rsid w:val="0B4C1312"/>
    <w:rsid w:val="0B5F4322"/>
    <w:rsid w:val="0B7D5288"/>
    <w:rsid w:val="0BA85FE2"/>
    <w:rsid w:val="0BC351A8"/>
    <w:rsid w:val="0C4E061F"/>
    <w:rsid w:val="0C7B69EC"/>
    <w:rsid w:val="0C8E7815"/>
    <w:rsid w:val="0CCB7D72"/>
    <w:rsid w:val="0CE278E7"/>
    <w:rsid w:val="0CF80111"/>
    <w:rsid w:val="0D107A79"/>
    <w:rsid w:val="0D167CE5"/>
    <w:rsid w:val="0D3F7793"/>
    <w:rsid w:val="0D471DE7"/>
    <w:rsid w:val="0D7F5E66"/>
    <w:rsid w:val="0D876E34"/>
    <w:rsid w:val="0D982EC9"/>
    <w:rsid w:val="0D9C7B8B"/>
    <w:rsid w:val="0DC22EC1"/>
    <w:rsid w:val="0DCB3DAC"/>
    <w:rsid w:val="0DFB2FB3"/>
    <w:rsid w:val="0E3E6542"/>
    <w:rsid w:val="0E5F299C"/>
    <w:rsid w:val="0E63129C"/>
    <w:rsid w:val="0E6B0237"/>
    <w:rsid w:val="0E8A1168"/>
    <w:rsid w:val="0E8A6DC2"/>
    <w:rsid w:val="0E9336D5"/>
    <w:rsid w:val="0EAA1C2B"/>
    <w:rsid w:val="0EB55CA2"/>
    <w:rsid w:val="0ECA344C"/>
    <w:rsid w:val="0F21641D"/>
    <w:rsid w:val="0F2C3FB2"/>
    <w:rsid w:val="0F2F6A13"/>
    <w:rsid w:val="0F40320A"/>
    <w:rsid w:val="0F6209D7"/>
    <w:rsid w:val="0F75734D"/>
    <w:rsid w:val="0F825937"/>
    <w:rsid w:val="0F8272B0"/>
    <w:rsid w:val="0F9D2C50"/>
    <w:rsid w:val="0F9D63CC"/>
    <w:rsid w:val="0FBE04C8"/>
    <w:rsid w:val="0FCA32D7"/>
    <w:rsid w:val="0FCE7DD2"/>
    <w:rsid w:val="0FDB28C5"/>
    <w:rsid w:val="10182083"/>
    <w:rsid w:val="106853DA"/>
    <w:rsid w:val="107E5BC3"/>
    <w:rsid w:val="108744B7"/>
    <w:rsid w:val="109F7C81"/>
    <w:rsid w:val="10A049A9"/>
    <w:rsid w:val="10A476C8"/>
    <w:rsid w:val="10AE050B"/>
    <w:rsid w:val="10AE7625"/>
    <w:rsid w:val="10B643FA"/>
    <w:rsid w:val="10BF595D"/>
    <w:rsid w:val="10C71AAC"/>
    <w:rsid w:val="10DA389B"/>
    <w:rsid w:val="10DA76D6"/>
    <w:rsid w:val="10F372AF"/>
    <w:rsid w:val="10FC1AC7"/>
    <w:rsid w:val="10FE6EAC"/>
    <w:rsid w:val="11325CE0"/>
    <w:rsid w:val="113A2F0E"/>
    <w:rsid w:val="114E0AB0"/>
    <w:rsid w:val="117B73AB"/>
    <w:rsid w:val="118A6D85"/>
    <w:rsid w:val="11A82644"/>
    <w:rsid w:val="11CC2A7C"/>
    <w:rsid w:val="11FE06F3"/>
    <w:rsid w:val="12073485"/>
    <w:rsid w:val="122B2DC6"/>
    <w:rsid w:val="123B1EA8"/>
    <w:rsid w:val="12660D7B"/>
    <w:rsid w:val="126F7F50"/>
    <w:rsid w:val="12876EAD"/>
    <w:rsid w:val="128B37A6"/>
    <w:rsid w:val="1291796B"/>
    <w:rsid w:val="129A2182"/>
    <w:rsid w:val="129D7288"/>
    <w:rsid w:val="12CE687F"/>
    <w:rsid w:val="12E71799"/>
    <w:rsid w:val="12F1477E"/>
    <w:rsid w:val="132A7280"/>
    <w:rsid w:val="133D1148"/>
    <w:rsid w:val="13416D96"/>
    <w:rsid w:val="1376430A"/>
    <w:rsid w:val="13764A3E"/>
    <w:rsid w:val="13B677A9"/>
    <w:rsid w:val="13BC451D"/>
    <w:rsid w:val="13CD5F7F"/>
    <w:rsid w:val="13E07F94"/>
    <w:rsid w:val="13E857A6"/>
    <w:rsid w:val="14183C03"/>
    <w:rsid w:val="141F5693"/>
    <w:rsid w:val="14243A1D"/>
    <w:rsid w:val="142E526F"/>
    <w:rsid w:val="14A32426"/>
    <w:rsid w:val="14A744DC"/>
    <w:rsid w:val="14AD0DD4"/>
    <w:rsid w:val="154443B7"/>
    <w:rsid w:val="154939D3"/>
    <w:rsid w:val="155B2202"/>
    <w:rsid w:val="159A0776"/>
    <w:rsid w:val="15BF119F"/>
    <w:rsid w:val="15D712D8"/>
    <w:rsid w:val="16025B7C"/>
    <w:rsid w:val="161C59F2"/>
    <w:rsid w:val="16251D52"/>
    <w:rsid w:val="16253B41"/>
    <w:rsid w:val="16270C56"/>
    <w:rsid w:val="162A3FEA"/>
    <w:rsid w:val="16697483"/>
    <w:rsid w:val="166D049C"/>
    <w:rsid w:val="166F7503"/>
    <w:rsid w:val="1677734A"/>
    <w:rsid w:val="168C541C"/>
    <w:rsid w:val="171006AD"/>
    <w:rsid w:val="17116141"/>
    <w:rsid w:val="17216AF1"/>
    <w:rsid w:val="17422B1D"/>
    <w:rsid w:val="176F2136"/>
    <w:rsid w:val="17781829"/>
    <w:rsid w:val="17942B14"/>
    <w:rsid w:val="17A0322D"/>
    <w:rsid w:val="17D74A13"/>
    <w:rsid w:val="17EB1580"/>
    <w:rsid w:val="17FB319F"/>
    <w:rsid w:val="1817154F"/>
    <w:rsid w:val="183C302C"/>
    <w:rsid w:val="184240A5"/>
    <w:rsid w:val="18571959"/>
    <w:rsid w:val="185C4889"/>
    <w:rsid w:val="185E0DAB"/>
    <w:rsid w:val="18753E2F"/>
    <w:rsid w:val="187F4F37"/>
    <w:rsid w:val="18AE22A6"/>
    <w:rsid w:val="18C073A6"/>
    <w:rsid w:val="18FC7B92"/>
    <w:rsid w:val="19024946"/>
    <w:rsid w:val="190C5376"/>
    <w:rsid w:val="1922698B"/>
    <w:rsid w:val="19323D63"/>
    <w:rsid w:val="193D4B0C"/>
    <w:rsid w:val="195C371C"/>
    <w:rsid w:val="196737E8"/>
    <w:rsid w:val="196A2A2F"/>
    <w:rsid w:val="198207AC"/>
    <w:rsid w:val="19983C97"/>
    <w:rsid w:val="19EE516D"/>
    <w:rsid w:val="19F14971"/>
    <w:rsid w:val="1A0E6500"/>
    <w:rsid w:val="1A2A1B57"/>
    <w:rsid w:val="1A440661"/>
    <w:rsid w:val="1A490E6B"/>
    <w:rsid w:val="1A4B07E8"/>
    <w:rsid w:val="1A604559"/>
    <w:rsid w:val="1A8403EE"/>
    <w:rsid w:val="1ACC03DE"/>
    <w:rsid w:val="1AE060BE"/>
    <w:rsid w:val="1AF46219"/>
    <w:rsid w:val="1B196FB8"/>
    <w:rsid w:val="1B394712"/>
    <w:rsid w:val="1B3A7B26"/>
    <w:rsid w:val="1B480C26"/>
    <w:rsid w:val="1B506EEB"/>
    <w:rsid w:val="1B52057F"/>
    <w:rsid w:val="1B7A33A9"/>
    <w:rsid w:val="1C2D7062"/>
    <w:rsid w:val="1C341BE3"/>
    <w:rsid w:val="1C370D3A"/>
    <w:rsid w:val="1C426CD6"/>
    <w:rsid w:val="1C5E08C4"/>
    <w:rsid w:val="1C5F2383"/>
    <w:rsid w:val="1C6126C6"/>
    <w:rsid w:val="1C6E6920"/>
    <w:rsid w:val="1C755E47"/>
    <w:rsid w:val="1C810E6C"/>
    <w:rsid w:val="1C8753A1"/>
    <w:rsid w:val="1C893C15"/>
    <w:rsid w:val="1C9A0DE7"/>
    <w:rsid w:val="1CB6087B"/>
    <w:rsid w:val="1CBB0A91"/>
    <w:rsid w:val="1CBC68B9"/>
    <w:rsid w:val="1CEE0919"/>
    <w:rsid w:val="1D7E3D61"/>
    <w:rsid w:val="1D807409"/>
    <w:rsid w:val="1D8C68B6"/>
    <w:rsid w:val="1DA4267C"/>
    <w:rsid w:val="1DAD58D8"/>
    <w:rsid w:val="1DB01650"/>
    <w:rsid w:val="1DB40E22"/>
    <w:rsid w:val="1DBD7BEE"/>
    <w:rsid w:val="1DC32D89"/>
    <w:rsid w:val="1DE0579A"/>
    <w:rsid w:val="1E075089"/>
    <w:rsid w:val="1E2A4C19"/>
    <w:rsid w:val="1E6B7378"/>
    <w:rsid w:val="1E741E7A"/>
    <w:rsid w:val="1E801512"/>
    <w:rsid w:val="1E8F6E25"/>
    <w:rsid w:val="1E98544B"/>
    <w:rsid w:val="1E9859C8"/>
    <w:rsid w:val="1E9F0221"/>
    <w:rsid w:val="1EC24193"/>
    <w:rsid w:val="1ED82539"/>
    <w:rsid w:val="1EEA61F5"/>
    <w:rsid w:val="1EEC1D20"/>
    <w:rsid w:val="1EF937AB"/>
    <w:rsid w:val="1F13768B"/>
    <w:rsid w:val="1F1E6E37"/>
    <w:rsid w:val="1F4E2CC4"/>
    <w:rsid w:val="1F546299"/>
    <w:rsid w:val="1F6520C5"/>
    <w:rsid w:val="1F6E1A4A"/>
    <w:rsid w:val="1F85115D"/>
    <w:rsid w:val="1F8B60F0"/>
    <w:rsid w:val="1F8D070E"/>
    <w:rsid w:val="1FCA44B6"/>
    <w:rsid w:val="1FE63C0F"/>
    <w:rsid w:val="203101F6"/>
    <w:rsid w:val="20917681"/>
    <w:rsid w:val="20A657E7"/>
    <w:rsid w:val="20B7488B"/>
    <w:rsid w:val="20D7355D"/>
    <w:rsid w:val="20EF50A8"/>
    <w:rsid w:val="20F01EC6"/>
    <w:rsid w:val="20F234CF"/>
    <w:rsid w:val="20FB6C01"/>
    <w:rsid w:val="21135B63"/>
    <w:rsid w:val="211B0CAC"/>
    <w:rsid w:val="2141597A"/>
    <w:rsid w:val="21440214"/>
    <w:rsid w:val="215B68D9"/>
    <w:rsid w:val="216612E5"/>
    <w:rsid w:val="216B78F3"/>
    <w:rsid w:val="21802FED"/>
    <w:rsid w:val="21807D1A"/>
    <w:rsid w:val="218529A7"/>
    <w:rsid w:val="21955768"/>
    <w:rsid w:val="2196094F"/>
    <w:rsid w:val="21A3766F"/>
    <w:rsid w:val="21B17CE7"/>
    <w:rsid w:val="21FA1A16"/>
    <w:rsid w:val="221E1123"/>
    <w:rsid w:val="22293DE0"/>
    <w:rsid w:val="22434F33"/>
    <w:rsid w:val="22546C26"/>
    <w:rsid w:val="22636AB8"/>
    <w:rsid w:val="22773469"/>
    <w:rsid w:val="22AB09BC"/>
    <w:rsid w:val="22F248CC"/>
    <w:rsid w:val="23457939"/>
    <w:rsid w:val="2370034F"/>
    <w:rsid w:val="23A85FAC"/>
    <w:rsid w:val="23C4440C"/>
    <w:rsid w:val="24021188"/>
    <w:rsid w:val="24041538"/>
    <w:rsid w:val="243429C5"/>
    <w:rsid w:val="243E7445"/>
    <w:rsid w:val="246F0492"/>
    <w:rsid w:val="247966C1"/>
    <w:rsid w:val="24887A34"/>
    <w:rsid w:val="24B21A5A"/>
    <w:rsid w:val="24D46671"/>
    <w:rsid w:val="24D95A99"/>
    <w:rsid w:val="24E503A0"/>
    <w:rsid w:val="24FC19C0"/>
    <w:rsid w:val="24FD246F"/>
    <w:rsid w:val="254C1A3A"/>
    <w:rsid w:val="254D0CB8"/>
    <w:rsid w:val="25A6378E"/>
    <w:rsid w:val="25DF026C"/>
    <w:rsid w:val="26081041"/>
    <w:rsid w:val="262D4250"/>
    <w:rsid w:val="262F72C8"/>
    <w:rsid w:val="26E838DB"/>
    <w:rsid w:val="26E866B4"/>
    <w:rsid w:val="27076A5B"/>
    <w:rsid w:val="274F0D31"/>
    <w:rsid w:val="277615D4"/>
    <w:rsid w:val="277F7794"/>
    <w:rsid w:val="27CA036D"/>
    <w:rsid w:val="27DB3C88"/>
    <w:rsid w:val="27DD19E6"/>
    <w:rsid w:val="27E369F5"/>
    <w:rsid w:val="27F3015D"/>
    <w:rsid w:val="27F960E1"/>
    <w:rsid w:val="28421013"/>
    <w:rsid w:val="285E79CB"/>
    <w:rsid w:val="286337EB"/>
    <w:rsid w:val="287B6F62"/>
    <w:rsid w:val="28836B25"/>
    <w:rsid w:val="288C62EA"/>
    <w:rsid w:val="28906386"/>
    <w:rsid w:val="28E90451"/>
    <w:rsid w:val="28F27B3A"/>
    <w:rsid w:val="29204C86"/>
    <w:rsid w:val="2953312F"/>
    <w:rsid w:val="296D1FD0"/>
    <w:rsid w:val="29AC79D1"/>
    <w:rsid w:val="29C74A0E"/>
    <w:rsid w:val="29D675CA"/>
    <w:rsid w:val="29DD4263"/>
    <w:rsid w:val="29E723DE"/>
    <w:rsid w:val="29F3030A"/>
    <w:rsid w:val="2A0667F0"/>
    <w:rsid w:val="2A1E3431"/>
    <w:rsid w:val="2A271B04"/>
    <w:rsid w:val="2A28792F"/>
    <w:rsid w:val="2A3362D9"/>
    <w:rsid w:val="2A3C5D64"/>
    <w:rsid w:val="2A5C2E7E"/>
    <w:rsid w:val="2A8D1AB6"/>
    <w:rsid w:val="2AA0300C"/>
    <w:rsid w:val="2AC244B1"/>
    <w:rsid w:val="2AD4385E"/>
    <w:rsid w:val="2AFE0317"/>
    <w:rsid w:val="2B044B89"/>
    <w:rsid w:val="2B051503"/>
    <w:rsid w:val="2B174D70"/>
    <w:rsid w:val="2B235B1E"/>
    <w:rsid w:val="2B240352"/>
    <w:rsid w:val="2B3371C7"/>
    <w:rsid w:val="2B350E67"/>
    <w:rsid w:val="2B3E2541"/>
    <w:rsid w:val="2B49215A"/>
    <w:rsid w:val="2B65488E"/>
    <w:rsid w:val="2B7F2B27"/>
    <w:rsid w:val="2BCC5D13"/>
    <w:rsid w:val="2BDE08FA"/>
    <w:rsid w:val="2BEB7CFF"/>
    <w:rsid w:val="2BF90944"/>
    <w:rsid w:val="2BFE36E4"/>
    <w:rsid w:val="2C586EAF"/>
    <w:rsid w:val="2C5F421A"/>
    <w:rsid w:val="2C617816"/>
    <w:rsid w:val="2C8F7376"/>
    <w:rsid w:val="2C927B77"/>
    <w:rsid w:val="2C985C2B"/>
    <w:rsid w:val="2CC3174F"/>
    <w:rsid w:val="2CD90F18"/>
    <w:rsid w:val="2CEC4612"/>
    <w:rsid w:val="2D4B773E"/>
    <w:rsid w:val="2D5714EF"/>
    <w:rsid w:val="2D5E63DB"/>
    <w:rsid w:val="2D621C8E"/>
    <w:rsid w:val="2D644EDF"/>
    <w:rsid w:val="2D673047"/>
    <w:rsid w:val="2D687CCB"/>
    <w:rsid w:val="2D743096"/>
    <w:rsid w:val="2D75779B"/>
    <w:rsid w:val="2D94176D"/>
    <w:rsid w:val="2D9E0246"/>
    <w:rsid w:val="2DC35A6B"/>
    <w:rsid w:val="2DC72087"/>
    <w:rsid w:val="2E0C3DD6"/>
    <w:rsid w:val="2E1D5DA6"/>
    <w:rsid w:val="2E201624"/>
    <w:rsid w:val="2E427D12"/>
    <w:rsid w:val="2E6721E0"/>
    <w:rsid w:val="2E7A22A2"/>
    <w:rsid w:val="2E8D0249"/>
    <w:rsid w:val="2EB7005E"/>
    <w:rsid w:val="2EB978F2"/>
    <w:rsid w:val="2ED24FC4"/>
    <w:rsid w:val="2EE92E1E"/>
    <w:rsid w:val="2F076968"/>
    <w:rsid w:val="2F1331C7"/>
    <w:rsid w:val="2F1B1587"/>
    <w:rsid w:val="2F2720ED"/>
    <w:rsid w:val="2F2B60E8"/>
    <w:rsid w:val="2F2C39A8"/>
    <w:rsid w:val="2F357E25"/>
    <w:rsid w:val="2F395F54"/>
    <w:rsid w:val="2F3C28A2"/>
    <w:rsid w:val="2F481BD1"/>
    <w:rsid w:val="2F870A85"/>
    <w:rsid w:val="2F9072FF"/>
    <w:rsid w:val="2FA10696"/>
    <w:rsid w:val="2FA16C41"/>
    <w:rsid w:val="2FB122F1"/>
    <w:rsid w:val="2FB75C29"/>
    <w:rsid w:val="2FCC4D09"/>
    <w:rsid w:val="2FD2721A"/>
    <w:rsid w:val="2FE52371"/>
    <w:rsid w:val="2FE57AB7"/>
    <w:rsid w:val="2FF16D8F"/>
    <w:rsid w:val="304D21A4"/>
    <w:rsid w:val="307009DA"/>
    <w:rsid w:val="308C3B68"/>
    <w:rsid w:val="30AE768C"/>
    <w:rsid w:val="30AF256B"/>
    <w:rsid w:val="30BF0193"/>
    <w:rsid w:val="311C7854"/>
    <w:rsid w:val="31337D16"/>
    <w:rsid w:val="313C3BC7"/>
    <w:rsid w:val="3155604E"/>
    <w:rsid w:val="31612D5D"/>
    <w:rsid w:val="317D18D2"/>
    <w:rsid w:val="318A554D"/>
    <w:rsid w:val="31B76C16"/>
    <w:rsid w:val="31C13E83"/>
    <w:rsid w:val="31C23CED"/>
    <w:rsid w:val="31CA7A7A"/>
    <w:rsid w:val="31EF0008"/>
    <w:rsid w:val="32110734"/>
    <w:rsid w:val="32190EED"/>
    <w:rsid w:val="322F497A"/>
    <w:rsid w:val="327C50C4"/>
    <w:rsid w:val="328228FC"/>
    <w:rsid w:val="3285327B"/>
    <w:rsid w:val="32DA5634"/>
    <w:rsid w:val="32FE0A81"/>
    <w:rsid w:val="33017145"/>
    <w:rsid w:val="332F28F5"/>
    <w:rsid w:val="336A1D92"/>
    <w:rsid w:val="337F71E3"/>
    <w:rsid w:val="338427E6"/>
    <w:rsid w:val="33863F5C"/>
    <w:rsid w:val="33A17B4E"/>
    <w:rsid w:val="33A75D55"/>
    <w:rsid w:val="33D3632F"/>
    <w:rsid w:val="33FD76BE"/>
    <w:rsid w:val="34055461"/>
    <w:rsid w:val="340C662A"/>
    <w:rsid w:val="341304D0"/>
    <w:rsid w:val="344F417C"/>
    <w:rsid w:val="34530AE6"/>
    <w:rsid w:val="345343F5"/>
    <w:rsid w:val="34570E4A"/>
    <w:rsid w:val="3478674B"/>
    <w:rsid w:val="34AE1B60"/>
    <w:rsid w:val="35156241"/>
    <w:rsid w:val="351C180B"/>
    <w:rsid w:val="354A07C2"/>
    <w:rsid w:val="355E170A"/>
    <w:rsid w:val="35757139"/>
    <w:rsid w:val="359666A4"/>
    <w:rsid w:val="359C32EC"/>
    <w:rsid w:val="35B35362"/>
    <w:rsid w:val="35D455C8"/>
    <w:rsid w:val="35DA5F0B"/>
    <w:rsid w:val="35F06398"/>
    <w:rsid w:val="36045322"/>
    <w:rsid w:val="363210A1"/>
    <w:rsid w:val="364001DB"/>
    <w:rsid w:val="36546FCC"/>
    <w:rsid w:val="365E6576"/>
    <w:rsid w:val="36B07000"/>
    <w:rsid w:val="36B22148"/>
    <w:rsid w:val="36B3712E"/>
    <w:rsid w:val="36DF6D48"/>
    <w:rsid w:val="36E542A3"/>
    <w:rsid w:val="36EC5CED"/>
    <w:rsid w:val="37036833"/>
    <w:rsid w:val="3717579E"/>
    <w:rsid w:val="371E7FED"/>
    <w:rsid w:val="3750276D"/>
    <w:rsid w:val="37604447"/>
    <w:rsid w:val="376326AC"/>
    <w:rsid w:val="37846F04"/>
    <w:rsid w:val="37A947BB"/>
    <w:rsid w:val="37B66E01"/>
    <w:rsid w:val="37EE3032"/>
    <w:rsid w:val="380E11D9"/>
    <w:rsid w:val="3814751D"/>
    <w:rsid w:val="38183C41"/>
    <w:rsid w:val="38231C25"/>
    <w:rsid w:val="38307E3A"/>
    <w:rsid w:val="38A71416"/>
    <w:rsid w:val="38B12F93"/>
    <w:rsid w:val="38B624E0"/>
    <w:rsid w:val="38B6445A"/>
    <w:rsid w:val="38EC4ADF"/>
    <w:rsid w:val="390C3312"/>
    <w:rsid w:val="3910601B"/>
    <w:rsid w:val="391A4DE7"/>
    <w:rsid w:val="3925513A"/>
    <w:rsid w:val="392845DF"/>
    <w:rsid w:val="392B480D"/>
    <w:rsid w:val="39384075"/>
    <w:rsid w:val="39743128"/>
    <w:rsid w:val="398D462A"/>
    <w:rsid w:val="39905C5B"/>
    <w:rsid w:val="399828CE"/>
    <w:rsid w:val="399D592D"/>
    <w:rsid w:val="39C93C16"/>
    <w:rsid w:val="39ED0AA1"/>
    <w:rsid w:val="39EE52BD"/>
    <w:rsid w:val="39F6322F"/>
    <w:rsid w:val="39F63363"/>
    <w:rsid w:val="39F665B8"/>
    <w:rsid w:val="3A002E9A"/>
    <w:rsid w:val="3A1D494D"/>
    <w:rsid w:val="3A2508CA"/>
    <w:rsid w:val="3A5D7DF1"/>
    <w:rsid w:val="3A696106"/>
    <w:rsid w:val="3A771E7C"/>
    <w:rsid w:val="3A7D7F6A"/>
    <w:rsid w:val="3AB65260"/>
    <w:rsid w:val="3AC01B09"/>
    <w:rsid w:val="3AC1243F"/>
    <w:rsid w:val="3ACA26EC"/>
    <w:rsid w:val="3AEE58E1"/>
    <w:rsid w:val="3B066BEB"/>
    <w:rsid w:val="3B310E12"/>
    <w:rsid w:val="3B480A98"/>
    <w:rsid w:val="3B6D10FB"/>
    <w:rsid w:val="3B9C004F"/>
    <w:rsid w:val="3BB64A67"/>
    <w:rsid w:val="3BCE7A99"/>
    <w:rsid w:val="3BE262DB"/>
    <w:rsid w:val="3C5B4CF5"/>
    <w:rsid w:val="3C5F1DF5"/>
    <w:rsid w:val="3CA40A90"/>
    <w:rsid w:val="3CAC79CA"/>
    <w:rsid w:val="3CB57D68"/>
    <w:rsid w:val="3CBB7A13"/>
    <w:rsid w:val="3CC36161"/>
    <w:rsid w:val="3CD95191"/>
    <w:rsid w:val="3CE132CA"/>
    <w:rsid w:val="3D0D2B7D"/>
    <w:rsid w:val="3D3C3442"/>
    <w:rsid w:val="3D444AB5"/>
    <w:rsid w:val="3D532A73"/>
    <w:rsid w:val="3D663392"/>
    <w:rsid w:val="3D7F0BA0"/>
    <w:rsid w:val="3DA610DF"/>
    <w:rsid w:val="3DAB3FF8"/>
    <w:rsid w:val="3DD63064"/>
    <w:rsid w:val="3DF64736"/>
    <w:rsid w:val="3E537377"/>
    <w:rsid w:val="3E5D2D57"/>
    <w:rsid w:val="3E602D87"/>
    <w:rsid w:val="3EAD6726"/>
    <w:rsid w:val="3EB7756F"/>
    <w:rsid w:val="3EBC53F6"/>
    <w:rsid w:val="3EBE60F2"/>
    <w:rsid w:val="3ECE4041"/>
    <w:rsid w:val="3EE345EC"/>
    <w:rsid w:val="3EE620FB"/>
    <w:rsid w:val="3EFD27EA"/>
    <w:rsid w:val="3F07140E"/>
    <w:rsid w:val="3F235241"/>
    <w:rsid w:val="3F2E5512"/>
    <w:rsid w:val="3F34701E"/>
    <w:rsid w:val="3F4104DA"/>
    <w:rsid w:val="3F493EF8"/>
    <w:rsid w:val="3F75273C"/>
    <w:rsid w:val="3F945B85"/>
    <w:rsid w:val="3FA274AC"/>
    <w:rsid w:val="3FB4276D"/>
    <w:rsid w:val="3FEC6FA3"/>
    <w:rsid w:val="400E5569"/>
    <w:rsid w:val="404D6193"/>
    <w:rsid w:val="409669F0"/>
    <w:rsid w:val="40D10A84"/>
    <w:rsid w:val="40ED47E4"/>
    <w:rsid w:val="40F603F5"/>
    <w:rsid w:val="40F76701"/>
    <w:rsid w:val="41182303"/>
    <w:rsid w:val="41224426"/>
    <w:rsid w:val="413A56C8"/>
    <w:rsid w:val="418B32B2"/>
    <w:rsid w:val="41A51686"/>
    <w:rsid w:val="41BD62D2"/>
    <w:rsid w:val="422763DF"/>
    <w:rsid w:val="4228754F"/>
    <w:rsid w:val="42422076"/>
    <w:rsid w:val="4243163F"/>
    <w:rsid w:val="425B73DE"/>
    <w:rsid w:val="427830BA"/>
    <w:rsid w:val="428463B8"/>
    <w:rsid w:val="428E1326"/>
    <w:rsid w:val="428F3398"/>
    <w:rsid w:val="42943823"/>
    <w:rsid w:val="42A06851"/>
    <w:rsid w:val="42B935B4"/>
    <w:rsid w:val="42BC64DD"/>
    <w:rsid w:val="42C06BEE"/>
    <w:rsid w:val="42E2174B"/>
    <w:rsid w:val="43177CA0"/>
    <w:rsid w:val="432654B8"/>
    <w:rsid w:val="433E4ED0"/>
    <w:rsid w:val="437A44D2"/>
    <w:rsid w:val="439560CA"/>
    <w:rsid w:val="439956CA"/>
    <w:rsid w:val="43AC7BAF"/>
    <w:rsid w:val="43C53915"/>
    <w:rsid w:val="43DB4134"/>
    <w:rsid w:val="44036C30"/>
    <w:rsid w:val="440B2DDE"/>
    <w:rsid w:val="443F7548"/>
    <w:rsid w:val="444134D6"/>
    <w:rsid w:val="444A128E"/>
    <w:rsid w:val="446F406E"/>
    <w:rsid w:val="448173B7"/>
    <w:rsid w:val="44872314"/>
    <w:rsid w:val="449D633E"/>
    <w:rsid w:val="44B12D77"/>
    <w:rsid w:val="44BF3ED1"/>
    <w:rsid w:val="44CA1BB0"/>
    <w:rsid w:val="44D10C46"/>
    <w:rsid w:val="44D97220"/>
    <w:rsid w:val="44D97BB9"/>
    <w:rsid w:val="44E13350"/>
    <w:rsid w:val="450F0A55"/>
    <w:rsid w:val="451D41E6"/>
    <w:rsid w:val="45256FDB"/>
    <w:rsid w:val="4544208D"/>
    <w:rsid w:val="4560102C"/>
    <w:rsid w:val="456423D3"/>
    <w:rsid w:val="45853E19"/>
    <w:rsid w:val="45BA4074"/>
    <w:rsid w:val="45F02B99"/>
    <w:rsid w:val="45FC15C9"/>
    <w:rsid w:val="45FE57B3"/>
    <w:rsid w:val="46110391"/>
    <w:rsid w:val="46281F9F"/>
    <w:rsid w:val="4628285A"/>
    <w:rsid w:val="46347071"/>
    <w:rsid w:val="463B700B"/>
    <w:rsid w:val="46501022"/>
    <w:rsid w:val="46556285"/>
    <w:rsid w:val="466B3D85"/>
    <w:rsid w:val="46990171"/>
    <w:rsid w:val="46B219BF"/>
    <w:rsid w:val="46B22DAD"/>
    <w:rsid w:val="46BB3A9A"/>
    <w:rsid w:val="46CD239E"/>
    <w:rsid w:val="47022C63"/>
    <w:rsid w:val="470A6B61"/>
    <w:rsid w:val="471E4DB2"/>
    <w:rsid w:val="47286E32"/>
    <w:rsid w:val="472C5C65"/>
    <w:rsid w:val="472D003B"/>
    <w:rsid w:val="473255E3"/>
    <w:rsid w:val="473D7077"/>
    <w:rsid w:val="479508CC"/>
    <w:rsid w:val="479E32E6"/>
    <w:rsid w:val="479E5F68"/>
    <w:rsid w:val="47D311AC"/>
    <w:rsid w:val="47E47304"/>
    <w:rsid w:val="47E50A8C"/>
    <w:rsid w:val="47EC5626"/>
    <w:rsid w:val="48024741"/>
    <w:rsid w:val="48207B03"/>
    <w:rsid w:val="48470D03"/>
    <w:rsid w:val="484E3F72"/>
    <w:rsid w:val="486B6B03"/>
    <w:rsid w:val="486D66DF"/>
    <w:rsid w:val="487C76A0"/>
    <w:rsid w:val="48853388"/>
    <w:rsid w:val="48915FB8"/>
    <w:rsid w:val="48A20C94"/>
    <w:rsid w:val="48AD7B6E"/>
    <w:rsid w:val="48F573F1"/>
    <w:rsid w:val="48F962EC"/>
    <w:rsid w:val="49441EDD"/>
    <w:rsid w:val="494F091E"/>
    <w:rsid w:val="494F4B1E"/>
    <w:rsid w:val="495038CB"/>
    <w:rsid w:val="49D97353"/>
    <w:rsid w:val="4A096BAD"/>
    <w:rsid w:val="4A4A0F9B"/>
    <w:rsid w:val="4A5C33A7"/>
    <w:rsid w:val="4A642A4E"/>
    <w:rsid w:val="4A8B533A"/>
    <w:rsid w:val="4A9A18DB"/>
    <w:rsid w:val="4AA83A22"/>
    <w:rsid w:val="4AA84682"/>
    <w:rsid w:val="4AD02B70"/>
    <w:rsid w:val="4ADC51BE"/>
    <w:rsid w:val="4AEF6313"/>
    <w:rsid w:val="4AFC1194"/>
    <w:rsid w:val="4B142168"/>
    <w:rsid w:val="4B7F23F5"/>
    <w:rsid w:val="4B8D02D9"/>
    <w:rsid w:val="4B9932D0"/>
    <w:rsid w:val="4B9A4936"/>
    <w:rsid w:val="4BB82DEB"/>
    <w:rsid w:val="4BF36BA5"/>
    <w:rsid w:val="4BFF6423"/>
    <w:rsid w:val="4C1D1005"/>
    <w:rsid w:val="4C293199"/>
    <w:rsid w:val="4C2D43FD"/>
    <w:rsid w:val="4C4A3A0C"/>
    <w:rsid w:val="4C556956"/>
    <w:rsid w:val="4C991BCF"/>
    <w:rsid w:val="4CC410F1"/>
    <w:rsid w:val="4CDA4794"/>
    <w:rsid w:val="4CF6266E"/>
    <w:rsid w:val="4D315F56"/>
    <w:rsid w:val="4DB0174D"/>
    <w:rsid w:val="4DC54641"/>
    <w:rsid w:val="4DCA2D3A"/>
    <w:rsid w:val="4DD32C84"/>
    <w:rsid w:val="4DE8773F"/>
    <w:rsid w:val="4E1E5245"/>
    <w:rsid w:val="4E25469A"/>
    <w:rsid w:val="4E63397B"/>
    <w:rsid w:val="4E7835BC"/>
    <w:rsid w:val="4E873C75"/>
    <w:rsid w:val="4E913497"/>
    <w:rsid w:val="4EB122B3"/>
    <w:rsid w:val="4EC906D7"/>
    <w:rsid w:val="4ECF116B"/>
    <w:rsid w:val="4EDB3534"/>
    <w:rsid w:val="4EDB7A81"/>
    <w:rsid w:val="4EF363B8"/>
    <w:rsid w:val="4F080684"/>
    <w:rsid w:val="4F1C1126"/>
    <w:rsid w:val="4F1C443C"/>
    <w:rsid w:val="4F226D8C"/>
    <w:rsid w:val="4F403476"/>
    <w:rsid w:val="4F411A2B"/>
    <w:rsid w:val="4F6D763A"/>
    <w:rsid w:val="4F747C1B"/>
    <w:rsid w:val="4F782E6B"/>
    <w:rsid w:val="4F9973F4"/>
    <w:rsid w:val="4FB516E1"/>
    <w:rsid w:val="4FC16F69"/>
    <w:rsid w:val="4FD07B4B"/>
    <w:rsid w:val="4FE543E3"/>
    <w:rsid w:val="4FF317D9"/>
    <w:rsid w:val="50142A24"/>
    <w:rsid w:val="504314BF"/>
    <w:rsid w:val="50621244"/>
    <w:rsid w:val="506523AF"/>
    <w:rsid w:val="507C3A36"/>
    <w:rsid w:val="507E3B06"/>
    <w:rsid w:val="50873445"/>
    <w:rsid w:val="50A53988"/>
    <w:rsid w:val="50B82068"/>
    <w:rsid w:val="50F53FCD"/>
    <w:rsid w:val="510F23F7"/>
    <w:rsid w:val="51327865"/>
    <w:rsid w:val="514432FE"/>
    <w:rsid w:val="51450D89"/>
    <w:rsid w:val="51592794"/>
    <w:rsid w:val="516852BC"/>
    <w:rsid w:val="51690632"/>
    <w:rsid w:val="51854E7F"/>
    <w:rsid w:val="5194012C"/>
    <w:rsid w:val="51966F39"/>
    <w:rsid w:val="51C26C2E"/>
    <w:rsid w:val="51C34E15"/>
    <w:rsid w:val="51CC39A3"/>
    <w:rsid w:val="51F46078"/>
    <w:rsid w:val="51FC53E0"/>
    <w:rsid w:val="51FE5998"/>
    <w:rsid w:val="5201325E"/>
    <w:rsid w:val="520443CA"/>
    <w:rsid w:val="520A725D"/>
    <w:rsid w:val="52432612"/>
    <w:rsid w:val="524F493C"/>
    <w:rsid w:val="527E416B"/>
    <w:rsid w:val="52831058"/>
    <w:rsid w:val="52B62228"/>
    <w:rsid w:val="52B81B0C"/>
    <w:rsid w:val="52C55C27"/>
    <w:rsid w:val="52C77C85"/>
    <w:rsid w:val="52DF5482"/>
    <w:rsid w:val="52E750B0"/>
    <w:rsid w:val="52F0111E"/>
    <w:rsid w:val="533627BC"/>
    <w:rsid w:val="533F5425"/>
    <w:rsid w:val="538006EE"/>
    <w:rsid w:val="538C0BC8"/>
    <w:rsid w:val="539855E6"/>
    <w:rsid w:val="53D74C49"/>
    <w:rsid w:val="54003EA5"/>
    <w:rsid w:val="54174EB8"/>
    <w:rsid w:val="541B5FC6"/>
    <w:rsid w:val="54221D3B"/>
    <w:rsid w:val="54274D03"/>
    <w:rsid w:val="54661A6D"/>
    <w:rsid w:val="547000E3"/>
    <w:rsid w:val="547016B0"/>
    <w:rsid w:val="547E76AA"/>
    <w:rsid w:val="54954F11"/>
    <w:rsid w:val="54D3458B"/>
    <w:rsid w:val="54DC6F76"/>
    <w:rsid w:val="54DD2541"/>
    <w:rsid w:val="54E11210"/>
    <w:rsid w:val="54F262B2"/>
    <w:rsid w:val="54FC423E"/>
    <w:rsid w:val="550A17D8"/>
    <w:rsid w:val="551E441C"/>
    <w:rsid w:val="553D6CBE"/>
    <w:rsid w:val="55500544"/>
    <w:rsid w:val="5558603B"/>
    <w:rsid w:val="556810A3"/>
    <w:rsid w:val="55821ED9"/>
    <w:rsid w:val="558A07AD"/>
    <w:rsid w:val="55B06C2E"/>
    <w:rsid w:val="55B8024B"/>
    <w:rsid w:val="55C3136E"/>
    <w:rsid w:val="55C460D5"/>
    <w:rsid w:val="55C97ED6"/>
    <w:rsid w:val="55D212DA"/>
    <w:rsid w:val="55DE2EAD"/>
    <w:rsid w:val="55F27BB6"/>
    <w:rsid w:val="561C06B7"/>
    <w:rsid w:val="561E2291"/>
    <w:rsid w:val="562E2DCA"/>
    <w:rsid w:val="565801FF"/>
    <w:rsid w:val="565B470A"/>
    <w:rsid w:val="565C082F"/>
    <w:rsid w:val="567D5CF0"/>
    <w:rsid w:val="56985ECA"/>
    <w:rsid w:val="56CC03D3"/>
    <w:rsid w:val="572E0907"/>
    <w:rsid w:val="57633B56"/>
    <w:rsid w:val="5775340C"/>
    <w:rsid w:val="57794F86"/>
    <w:rsid w:val="57821E4B"/>
    <w:rsid w:val="57896FB5"/>
    <w:rsid w:val="578D7219"/>
    <w:rsid w:val="57962DD5"/>
    <w:rsid w:val="57C27197"/>
    <w:rsid w:val="57D05B4C"/>
    <w:rsid w:val="57DA2FF7"/>
    <w:rsid w:val="57DF643F"/>
    <w:rsid w:val="57E60CEE"/>
    <w:rsid w:val="5805430D"/>
    <w:rsid w:val="5818425B"/>
    <w:rsid w:val="58210F70"/>
    <w:rsid w:val="58450165"/>
    <w:rsid w:val="584F2BB2"/>
    <w:rsid w:val="588671C4"/>
    <w:rsid w:val="5894401E"/>
    <w:rsid w:val="58CE4E5E"/>
    <w:rsid w:val="58D32786"/>
    <w:rsid w:val="58E625A8"/>
    <w:rsid w:val="58FA468E"/>
    <w:rsid w:val="592854BF"/>
    <w:rsid w:val="59594991"/>
    <w:rsid w:val="59680494"/>
    <w:rsid w:val="59813A14"/>
    <w:rsid w:val="598E39A7"/>
    <w:rsid w:val="599D661E"/>
    <w:rsid w:val="59A74337"/>
    <w:rsid w:val="59AD5090"/>
    <w:rsid w:val="59CA67CF"/>
    <w:rsid w:val="59FD4B1A"/>
    <w:rsid w:val="59FE41E2"/>
    <w:rsid w:val="5A131F6B"/>
    <w:rsid w:val="5A1F4157"/>
    <w:rsid w:val="5A314D0D"/>
    <w:rsid w:val="5A463125"/>
    <w:rsid w:val="5A5E4239"/>
    <w:rsid w:val="5A72799A"/>
    <w:rsid w:val="5B0A250A"/>
    <w:rsid w:val="5B1C6F14"/>
    <w:rsid w:val="5B1D1F89"/>
    <w:rsid w:val="5B483D65"/>
    <w:rsid w:val="5B4C62DB"/>
    <w:rsid w:val="5B635D45"/>
    <w:rsid w:val="5B726428"/>
    <w:rsid w:val="5B883509"/>
    <w:rsid w:val="5B8F5F8C"/>
    <w:rsid w:val="5B97670E"/>
    <w:rsid w:val="5BAD1C9A"/>
    <w:rsid w:val="5C0C4A07"/>
    <w:rsid w:val="5C1B6907"/>
    <w:rsid w:val="5C3E03D2"/>
    <w:rsid w:val="5C403A71"/>
    <w:rsid w:val="5C551B3E"/>
    <w:rsid w:val="5C5825AA"/>
    <w:rsid w:val="5C9639C4"/>
    <w:rsid w:val="5C971393"/>
    <w:rsid w:val="5CCA23BF"/>
    <w:rsid w:val="5CFF6B46"/>
    <w:rsid w:val="5D2A7B9D"/>
    <w:rsid w:val="5DA913A6"/>
    <w:rsid w:val="5DAF236C"/>
    <w:rsid w:val="5DB11BB5"/>
    <w:rsid w:val="5DC11ECF"/>
    <w:rsid w:val="5DC31D67"/>
    <w:rsid w:val="5DC704AB"/>
    <w:rsid w:val="5DEF7EC2"/>
    <w:rsid w:val="5DFE6895"/>
    <w:rsid w:val="5E215AF5"/>
    <w:rsid w:val="5E2F7AA2"/>
    <w:rsid w:val="5E4F126C"/>
    <w:rsid w:val="5E5C0587"/>
    <w:rsid w:val="5E85058B"/>
    <w:rsid w:val="5EB04A36"/>
    <w:rsid w:val="5EF06DEA"/>
    <w:rsid w:val="5F0F6B05"/>
    <w:rsid w:val="5F246C95"/>
    <w:rsid w:val="5F6E36A0"/>
    <w:rsid w:val="5FBE51FB"/>
    <w:rsid w:val="5FC15F09"/>
    <w:rsid w:val="5FF07F60"/>
    <w:rsid w:val="5FF90C16"/>
    <w:rsid w:val="60161BD7"/>
    <w:rsid w:val="60342823"/>
    <w:rsid w:val="60631960"/>
    <w:rsid w:val="606534C6"/>
    <w:rsid w:val="60707898"/>
    <w:rsid w:val="60783259"/>
    <w:rsid w:val="607A429D"/>
    <w:rsid w:val="607A593F"/>
    <w:rsid w:val="607E760A"/>
    <w:rsid w:val="60965ADD"/>
    <w:rsid w:val="60AE3BD0"/>
    <w:rsid w:val="60C02385"/>
    <w:rsid w:val="60C500F6"/>
    <w:rsid w:val="60CF4CAA"/>
    <w:rsid w:val="61093891"/>
    <w:rsid w:val="61185AAB"/>
    <w:rsid w:val="61226E78"/>
    <w:rsid w:val="61265DA3"/>
    <w:rsid w:val="612A36F4"/>
    <w:rsid w:val="61350104"/>
    <w:rsid w:val="616F5A01"/>
    <w:rsid w:val="617A0E53"/>
    <w:rsid w:val="61AC4E9D"/>
    <w:rsid w:val="61AE0F73"/>
    <w:rsid w:val="61BB1034"/>
    <w:rsid w:val="61C72E6E"/>
    <w:rsid w:val="61EB0881"/>
    <w:rsid w:val="621D2EED"/>
    <w:rsid w:val="624461C0"/>
    <w:rsid w:val="625B56F8"/>
    <w:rsid w:val="629E40AA"/>
    <w:rsid w:val="629E43FE"/>
    <w:rsid w:val="62BD7C9F"/>
    <w:rsid w:val="62E70EFB"/>
    <w:rsid w:val="62FA19FB"/>
    <w:rsid w:val="63161354"/>
    <w:rsid w:val="631A11F1"/>
    <w:rsid w:val="632B6DD9"/>
    <w:rsid w:val="632F0B09"/>
    <w:rsid w:val="63303492"/>
    <w:rsid w:val="634A4BF3"/>
    <w:rsid w:val="63592F9D"/>
    <w:rsid w:val="639C3CC9"/>
    <w:rsid w:val="63A774DA"/>
    <w:rsid w:val="63CF1C92"/>
    <w:rsid w:val="63D94F2B"/>
    <w:rsid w:val="63E51586"/>
    <w:rsid w:val="6409130A"/>
    <w:rsid w:val="641A1533"/>
    <w:rsid w:val="64347C50"/>
    <w:rsid w:val="646058C0"/>
    <w:rsid w:val="64801004"/>
    <w:rsid w:val="64885432"/>
    <w:rsid w:val="64BD2889"/>
    <w:rsid w:val="64C03A39"/>
    <w:rsid w:val="64C82D02"/>
    <w:rsid w:val="64CE2B4F"/>
    <w:rsid w:val="64D72487"/>
    <w:rsid w:val="64ED6DD6"/>
    <w:rsid w:val="65242C85"/>
    <w:rsid w:val="653E2C47"/>
    <w:rsid w:val="65542981"/>
    <w:rsid w:val="656F0D09"/>
    <w:rsid w:val="65713B58"/>
    <w:rsid w:val="65720E8A"/>
    <w:rsid w:val="65911180"/>
    <w:rsid w:val="65AE5BB4"/>
    <w:rsid w:val="65BC6C54"/>
    <w:rsid w:val="65BF71D6"/>
    <w:rsid w:val="663267F3"/>
    <w:rsid w:val="66341819"/>
    <w:rsid w:val="665A5564"/>
    <w:rsid w:val="66BB593D"/>
    <w:rsid w:val="66C475E7"/>
    <w:rsid w:val="66C94377"/>
    <w:rsid w:val="66E52481"/>
    <w:rsid w:val="670B28BF"/>
    <w:rsid w:val="6728262C"/>
    <w:rsid w:val="67420213"/>
    <w:rsid w:val="674B49C6"/>
    <w:rsid w:val="677B7FAF"/>
    <w:rsid w:val="677E5E9C"/>
    <w:rsid w:val="67926C52"/>
    <w:rsid w:val="679346EA"/>
    <w:rsid w:val="67BC5B2D"/>
    <w:rsid w:val="67CF3A22"/>
    <w:rsid w:val="67E01D21"/>
    <w:rsid w:val="681A5F3B"/>
    <w:rsid w:val="681B658A"/>
    <w:rsid w:val="68310A2E"/>
    <w:rsid w:val="683602AE"/>
    <w:rsid w:val="684252A6"/>
    <w:rsid w:val="684B15E5"/>
    <w:rsid w:val="685A699C"/>
    <w:rsid w:val="68762E8F"/>
    <w:rsid w:val="6878474F"/>
    <w:rsid w:val="688461DD"/>
    <w:rsid w:val="68B0186F"/>
    <w:rsid w:val="690C2762"/>
    <w:rsid w:val="690E3D6E"/>
    <w:rsid w:val="691E574C"/>
    <w:rsid w:val="69255F4F"/>
    <w:rsid w:val="69414B40"/>
    <w:rsid w:val="69485DC5"/>
    <w:rsid w:val="694C1181"/>
    <w:rsid w:val="69501373"/>
    <w:rsid w:val="69664A8A"/>
    <w:rsid w:val="699A52FD"/>
    <w:rsid w:val="699F31E6"/>
    <w:rsid w:val="69B676EA"/>
    <w:rsid w:val="69B74B28"/>
    <w:rsid w:val="6A526687"/>
    <w:rsid w:val="6A6050A1"/>
    <w:rsid w:val="6A69385E"/>
    <w:rsid w:val="6A6F690F"/>
    <w:rsid w:val="6A756528"/>
    <w:rsid w:val="6A761E82"/>
    <w:rsid w:val="6AB32A1C"/>
    <w:rsid w:val="6AB54053"/>
    <w:rsid w:val="6ACF78F7"/>
    <w:rsid w:val="6AD40D73"/>
    <w:rsid w:val="6B06622D"/>
    <w:rsid w:val="6B192CCC"/>
    <w:rsid w:val="6B202B24"/>
    <w:rsid w:val="6B571B7D"/>
    <w:rsid w:val="6B61082D"/>
    <w:rsid w:val="6B670800"/>
    <w:rsid w:val="6B671EDB"/>
    <w:rsid w:val="6B963E50"/>
    <w:rsid w:val="6BA737B8"/>
    <w:rsid w:val="6BBB08DF"/>
    <w:rsid w:val="6BE31CAF"/>
    <w:rsid w:val="6BE801E7"/>
    <w:rsid w:val="6C325D54"/>
    <w:rsid w:val="6C9F465B"/>
    <w:rsid w:val="6CA11EBF"/>
    <w:rsid w:val="6CA166B8"/>
    <w:rsid w:val="6CAC5303"/>
    <w:rsid w:val="6CBF1508"/>
    <w:rsid w:val="6CC76E8C"/>
    <w:rsid w:val="6CE2604D"/>
    <w:rsid w:val="6CE27ACD"/>
    <w:rsid w:val="6D350AD4"/>
    <w:rsid w:val="6D3D4EA6"/>
    <w:rsid w:val="6D4710A4"/>
    <w:rsid w:val="6D547CA2"/>
    <w:rsid w:val="6D6B6E4D"/>
    <w:rsid w:val="6D705024"/>
    <w:rsid w:val="6D714307"/>
    <w:rsid w:val="6D9305DB"/>
    <w:rsid w:val="6DC37052"/>
    <w:rsid w:val="6DE94F39"/>
    <w:rsid w:val="6DF243DE"/>
    <w:rsid w:val="6DFC23CD"/>
    <w:rsid w:val="6E056DE4"/>
    <w:rsid w:val="6E181EBE"/>
    <w:rsid w:val="6E2F66A7"/>
    <w:rsid w:val="6E4E658A"/>
    <w:rsid w:val="6E543DB3"/>
    <w:rsid w:val="6E683453"/>
    <w:rsid w:val="6E7845DD"/>
    <w:rsid w:val="6E937CD8"/>
    <w:rsid w:val="6EA73899"/>
    <w:rsid w:val="6F086669"/>
    <w:rsid w:val="6F13037E"/>
    <w:rsid w:val="6F1F4A25"/>
    <w:rsid w:val="6F380DCE"/>
    <w:rsid w:val="6F3D3ED9"/>
    <w:rsid w:val="6F414742"/>
    <w:rsid w:val="6F422395"/>
    <w:rsid w:val="6F5E5CAB"/>
    <w:rsid w:val="6F657A27"/>
    <w:rsid w:val="6F6E4F8F"/>
    <w:rsid w:val="6F6E650E"/>
    <w:rsid w:val="6F777F27"/>
    <w:rsid w:val="6F8E5E01"/>
    <w:rsid w:val="6FB23DD0"/>
    <w:rsid w:val="6FC113A3"/>
    <w:rsid w:val="6FCB39B7"/>
    <w:rsid w:val="700873F6"/>
    <w:rsid w:val="701A5851"/>
    <w:rsid w:val="705B0D7F"/>
    <w:rsid w:val="707D5EC5"/>
    <w:rsid w:val="707F46CD"/>
    <w:rsid w:val="70827A72"/>
    <w:rsid w:val="70906E9F"/>
    <w:rsid w:val="70C90DC0"/>
    <w:rsid w:val="70CE529A"/>
    <w:rsid w:val="711142E6"/>
    <w:rsid w:val="714035E5"/>
    <w:rsid w:val="7147633E"/>
    <w:rsid w:val="714B0FD5"/>
    <w:rsid w:val="71612349"/>
    <w:rsid w:val="71C961D1"/>
    <w:rsid w:val="71D80E33"/>
    <w:rsid w:val="723C52DD"/>
    <w:rsid w:val="72DE59F0"/>
    <w:rsid w:val="72EF2636"/>
    <w:rsid w:val="72F57CB8"/>
    <w:rsid w:val="73295315"/>
    <w:rsid w:val="732A2376"/>
    <w:rsid w:val="732E323E"/>
    <w:rsid w:val="73453691"/>
    <w:rsid w:val="7375400A"/>
    <w:rsid w:val="738C0D76"/>
    <w:rsid w:val="73A05108"/>
    <w:rsid w:val="73A15097"/>
    <w:rsid w:val="73A47D96"/>
    <w:rsid w:val="73A63545"/>
    <w:rsid w:val="73A830B4"/>
    <w:rsid w:val="73C62EF0"/>
    <w:rsid w:val="73D40B0A"/>
    <w:rsid w:val="73E17480"/>
    <w:rsid w:val="73F7796C"/>
    <w:rsid w:val="741F7F52"/>
    <w:rsid w:val="745650ED"/>
    <w:rsid w:val="7460295E"/>
    <w:rsid w:val="747E52DD"/>
    <w:rsid w:val="74970321"/>
    <w:rsid w:val="74C337F5"/>
    <w:rsid w:val="74D26FB3"/>
    <w:rsid w:val="75073751"/>
    <w:rsid w:val="75222035"/>
    <w:rsid w:val="755F07C5"/>
    <w:rsid w:val="75A850B8"/>
    <w:rsid w:val="75B25ED6"/>
    <w:rsid w:val="75D75F6B"/>
    <w:rsid w:val="75D81FEC"/>
    <w:rsid w:val="75F52EF6"/>
    <w:rsid w:val="760261F5"/>
    <w:rsid w:val="76061BE3"/>
    <w:rsid w:val="762526AE"/>
    <w:rsid w:val="762767E0"/>
    <w:rsid w:val="76304405"/>
    <w:rsid w:val="763B11D1"/>
    <w:rsid w:val="76622B0C"/>
    <w:rsid w:val="76772995"/>
    <w:rsid w:val="767B213A"/>
    <w:rsid w:val="76C510A7"/>
    <w:rsid w:val="76D06C71"/>
    <w:rsid w:val="76E5305A"/>
    <w:rsid w:val="770D52C0"/>
    <w:rsid w:val="77326D7C"/>
    <w:rsid w:val="77597DB5"/>
    <w:rsid w:val="777651F6"/>
    <w:rsid w:val="777C1EE2"/>
    <w:rsid w:val="77990772"/>
    <w:rsid w:val="77BC3BE3"/>
    <w:rsid w:val="77E358EB"/>
    <w:rsid w:val="78273EF6"/>
    <w:rsid w:val="782D7A7F"/>
    <w:rsid w:val="785A609E"/>
    <w:rsid w:val="787F2082"/>
    <w:rsid w:val="78824614"/>
    <w:rsid w:val="7888613B"/>
    <w:rsid w:val="78BE0F39"/>
    <w:rsid w:val="78E73E28"/>
    <w:rsid w:val="7919753F"/>
    <w:rsid w:val="791D3C81"/>
    <w:rsid w:val="79333884"/>
    <w:rsid w:val="79353340"/>
    <w:rsid w:val="795A70E9"/>
    <w:rsid w:val="795B69AA"/>
    <w:rsid w:val="796120E4"/>
    <w:rsid w:val="798770D6"/>
    <w:rsid w:val="79C85E43"/>
    <w:rsid w:val="79E058FE"/>
    <w:rsid w:val="79E72F3E"/>
    <w:rsid w:val="7A18270C"/>
    <w:rsid w:val="7A3D1763"/>
    <w:rsid w:val="7A414D19"/>
    <w:rsid w:val="7A84796D"/>
    <w:rsid w:val="7A8D33E1"/>
    <w:rsid w:val="7AA11E4E"/>
    <w:rsid w:val="7AFE373A"/>
    <w:rsid w:val="7B145A54"/>
    <w:rsid w:val="7B37112C"/>
    <w:rsid w:val="7B4E2788"/>
    <w:rsid w:val="7B70526D"/>
    <w:rsid w:val="7B7F10DE"/>
    <w:rsid w:val="7BA81DE3"/>
    <w:rsid w:val="7BBB07A5"/>
    <w:rsid w:val="7BBB1648"/>
    <w:rsid w:val="7BD9545B"/>
    <w:rsid w:val="7BED1AEA"/>
    <w:rsid w:val="7BF849A8"/>
    <w:rsid w:val="7C7F7A0B"/>
    <w:rsid w:val="7C9E6B19"/>
    <w:rsid w:val="7CB80783"/>
    <w:rsid w:val="7CD07F23"/>
    <w:rsid w:val="7CD5578C"/>
    <w:rsid w:val="7CF0336C"/>
    <w:rsid w:val="7D231EA4"/>
    <w:rsid w:val="7D27312B"/>
    <w:rsid w:val="7D3B1AFB"/>
    <w:rsid w:val="7D637B73"/>
    <w:rsid w:val="7D640089"/>
    <w:rsid w:val="7D64055B"/>
    <w:rsid w:val="7D736F41"/>
    <w:rsid w:val="7D761592"/>
    <w:rsid w:val="7D8D71FC"/>
    <w:rsid w:val="7D8F6250"/>
    <w:rsid w:val="7D987E04"/>
    <w:rsid w:val="7DBA5A76"/>
    <w:rsid w:val="7DBB00DE"/>
    <w:rsid w:val="7DDB0212"/>
    <w:rsid w:val="7DF02990"/>
    <w:rsid w:val="7DF644CF"/>
    <w:rsid w:val="7E066C80"/>
    <w:rsid w:val="7E08289E"/>
    <w:rsid w:val="7E1B491C"/>
    <w:rsid w:val="7E295D76"/>
    <w:rsid w:val="7EA753CB"/>
    <w:rsid w:val="7EAD0F90"/>
    <w:rsid w:val="7EC25AA4"/>
    <w:rsid w:val="7EEE5026"/>
    <w:rsid w:val="7F024E57"/>
    <w:rsid w:val="7F730DBE"/>
    <w:rsid w:val="7F7D4791"/>
    <w:rsid w:val="7F9649A8"/>
    <w:rsid w:val="7FBD4E96"/>
    <w:rsid w:val="7FE91D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9"/>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link w:val="30"/>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6">
    <w:name w:val="heading 3"/>
    <w:basedOn w:val="1"/>
    <w:next w:val="1"/>
    <w:link w:val="3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32"/>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8">
    <w:name w:val="heading 5"/>
    <w:basedOn w:val="1"/>
    <w:next w:val="1"/>
    <w:link w:val="33"/>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34"/>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35"/>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36"/>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3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13">
    <w:name w:val="annotation text"/>
    <w:basedOn w:val="1"/>
    <w:link w:val="38"/>
    <w:qFormat/>
    <w:uiPriority w:val="0"/>
    <w:pPr>
      <w:jc w:val="left"/>
    </w:pPr>
  </w:style>
  <w:style w:type="paragraph" w:styleId="14">
    <w:name w:val="Date"/>
    <w:basedOn w:val="1"/>
    <w:next w:val="1"/>
    <w:qFormat/>
    <w:uiPriority w:val="0"/>
    <w:pPr>
      <w:ind w:left="100" w:leftChars="2500"/>
    </w:pPr>
  </w:style>
  <w:style w:type="paragraph" w:styleId="15">
    <w:name w:val="Balloon Text"/>
    <w:basedOn w:val="1"/>
    <w:link w:val="39"/>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annotation subject"/>
    <w:basedOn w:val="13"/>
    <w:next w:val="13"/>
    <w:link w:val="40"/>
    <w:qFormat/>
    <w:uiPriority w:val="0"/>
    <w:rPr>
      <w:b/>
      <w:bCs/>
    </w:rPr>
  </w:style>
  <w:style w:type="table" w:styleId="21">
    <w:name w:val="Table Grid"/>
    <w:basedOn w:val="20"/>
    <w:qFormat/>
    <w:uiPriority w:val="0"/>
    <w:pPr>
      <w:widowControl w:val="0"/>
      <w:jc w:val="both"/>
    </w:pPr>
    <w:rPr>
      <w:rFonts w:ascii="Calibri" w:hAnsi="Calibri"/>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style>
  <w:style w:type="character" w:styleId="25">
    <w:name w:val="FollowedHyperlink"/>
    <w:basedOn w:val="22"/>
    <w:qFormat/>
    <w:uiPriority w:val="0"/>
    <w:rPr>
      <w:color w:val="000000"/>
      <w:u w:val="none"/>
    </w:rPr>
  </w:style>
  <w:style w:type="character" w:styleId="26">
    <w:name w:val="Hyperlink"/>
    <w:qFormat/>
    <w:uiPriority w:val="0"/>
    <w:rPr>
      <w:color w:val="0563C1"/>
      <w:u w:val="single"/>
    </w:rPr>
  </w:style>
  <w:style w:type="character" w:styleId="27">
    <w:name w:val="HTML Code"/>
    <w:qFormat/>
    <w:uiPriority w:val="0"/>
    <w:rPr>
      <w:rFonts w:ascii="宋体" w:hAnsi="宋体" w:eastAsia="宋体" w:cs="宋体"/>
      <w:sz w:val="24"/>
      <w:szCs w:val="24"/>
    </w:rPr>
  </w:style>
  <w:style w:type="character" w:styleId="28">
    <w:name w:val="annotation reference"/>
    <w:qFormat/>
    <w:uiPriority w:val="0"/>
    <w:rPr>
      <w:sz w:val="21"/>
      <w:szCs w:val="21"/>
    </w:rPr>
  </w:style>
  <w:style w:type="character" w:customStyle="1" w:styleId="29">
    <w:name w:val="标题 1 Char"/>
    <w:link w:val="4"/>
    <w:qFormat/>
    <w:uiPriority w:val="0"/>
    <w:rPr>
      <w:rFonts w:eastAsia="宋体"/>
      <w:b/>
      <w:bCs/>
      <w:kern w:val="44"/>
      <w:sz w:val="44"/>
      <w:szCs w:val="44"/>
      <w:lang w:val="en-US" w:eastAsia="zh-CN" w:bidi="ar-SA"/>
    </w:rPr>
  </w:style>
  <w:style w:type="character" w:customStyle="1" w:styleId="30">
    <w:name w:val="标题 2 Char"/>
    <w:link w:val="5"/>
    <w:qFormat/>
    <w:uiPriority w:val="0"/>
    <w:rPr>
      <w:rFonts w:ascii="Arial" w:hAnsi="Arial" w:eastAsia="黑体"/>
      <w:b/>
      <w:bCs/>
      <w:kern w:val="2"/>
      <w:sz w:val="32"/>
      <w:szCs w:val="32"/>
      <w:lang w:val="en-US" w:eastAsia="zh-CN" w:bidi="ar-SA"/>
    </w:rPr>
  </w:style>
  <w:style w:type="character" w:customStyle="1" w:styleId="31">
    <w:name w:val="标题 3 Char"/>
    <w:link w:val="6"/>
    <w:qFormat/>
    <w:uiPriority w:val="0"/>
    <w:rPr>
      <w:rFonts w:eastAsia="宋体"/>
      <w:b/>
      <w:bCs/>
      <w:kern w:val="2"/>
      <w:sz w:val="32"/>
      <w:szCs w:val="32"/>
      <w:lang w:val="en-US" w:eastAsia="zh-CN" w:bidi="ar-SA"/>
    </w:rPr>
  </w:style>
  <w:style w:type="character" w:customStyle="1" w:styleId="32">
    <w:name w:val="标题 4 Char"/>
    <w:link w:val="7"/>
    <w:qFormat/>
    <w:uiPriority w:val="0"/>
    <w:rPr>
      <w:rFonts w:ascii="Arial" w:hAnsi="Arial" w:eastAsia="黑体"/>
      <w:b/>
      <w:bCs/>
      <w:kern w:val="2"/>
      <w:sz w:val="28"/>
      <w:szCs w:val="28"/>
      <w:lang w:val="en-US" w:eastAsia="zh-CN" w:bidi="ar-SA"/>
    </w:rPr>
  </w:style>
  <w:style w:type="character" w:customStyle="1" w:styleId="33">
    <w:name w:val="标题 5 Char"/>
    <w:link w:val="8"/>
    <w:qFormat/>
    <w:uiPriority w:val="0"/>
    <w:rPr>
      <w:rFonts w:eastAsia="宋体"/>
      <w:b/>
      <w:bCs/>
      <w:kern w:val="2"/>
      <w:sz w:val="28"/>
      <w:szCs w:val="28"/>
      <w:lang w:val="en-US" w:eastAsia="zh-CN" w:bidi="ar-SA"/>
    </w:rPr>
  </w:style>
  <w:style w:type="character" w:customStyle="1" w:styleId="34">
    <w:name w:val="标题 6 Char"/>
    <w:link w:val="9"/>
    <w:qFormat/>
    <w:uiPriority w:val="0"/>
    <w:rPr>
      <w:rFonts w:ascii="Arial" w:hAnsi="Arial" w:eastAsia="黑体"/>
      <w:b/>
      <w:bCs/>
      <w:kern w:val="2"/>
      <w:sz w:val="24"/>
      <w:szCs w:val="24"/>
      <w:lang w:val="en-US" w:eastAsia="zh-CN" w:bidi="ar-SA"/>
    </w:rPr>
  </w:style>
  <w:style w:type="character" w:customStyle="1" w:styleId="35">
    <w:name w:val="标题 7 Char"/>
    <w:link w:val="10"/>
    <w:qFormat/>
    <w:uiPriority w:val="0"/>
    <w:rPr>
      <w:rFonts w:eastAsia="宋体"/>
      <w:b/>
      <w:bCs/>
      <w:kern w:val="2"/>
      <w:sz w:val="24"/>
      <w:szCs w:val="24"/>
      <w:lang w:val="en-US" w:eastAsia="zh-CN" w:bidi="ar-SA"/>
    </w:rPr>
  </w:style>
  <w:style w:type="character" w:customStyle="1" w:styleId="36">
    <w:name w:val="标题 8 Char"/>
    <w:link w:val="11"/>
    <w:qFormat/>
    <w:uiPriority w:val="0"/>
    <w:rPr>
      <w:rFonts w:ascii="Arial" w:hAnsi="Arial" w:eastAsia="黑体"/>
      <w:kern w:val="2"/>
      <w:sz w:val="24"/>
      <w:szCs w:val="24"/>
      <w:lang w:val="en-US" w:eastAsia="zh-CN" w:bidi="ar-SA"/>
    </w:rPr>
  </w:style>
  <w:style w:type="character" w:customStyle="1" w:styleId="37">
    <w:name w:val="标题 9 Char"/>
    <w:link w:val="12"/>
    <w:qFormat/>
    <w:uiPriority w:val="0"/>
    <w:rPr>
      <w:rFonts w:ascii="Arial" w:hAnsi="Arial" w:eastAsia="黑体"/>
      <w:kern w:val="2"/>
      <w:sz w:val="21"/>
      <w:szCs w:val="21"/>
      <w:lang w:val="en-US" w:eastAsia="zh-CN" w:bidi="ar-SA"/>
    </w:rPr>
  </w:style>
  <w:style w:type="character" w:customStyle="1" w:styleId="38">
    <w:name w:val="批注文字 Char"/>
    <w:link w:val="13"/>
    <w:qFormat/>
    <w:uiPriority w:val="0"/>
    <w:rPr>
      <w:rFonts w:eastAsia="宋体"/>
      <w:kern w:val="2"/>
      <w:sz w:val="21"/>
      <w:szCs w:val="24"/>
      <w:lang w:val="en-US" w:eastAsia="zh-CN" w:bidi="ar-SA"/>
    </w:rPr>
  </w:style>
  <w:style w:type="character" w:customStyle="1" w:styleId="39">
    <w:name w:val="批注框文本 Char"/>
    <w:link w:val="15"/>
    <w:qFormat/>
    <w:uiPriority w:val="0"/>
    <w:rPr>
      <w:rFonts w:eastAsia="宋体"/>
      <w:kern w:val="2"/>
      <w:sz w:val="18"/>
      <w:szCs w:val="18"/>
      <w:lang w:val="en-US" w:eastAsia="zh-CN" w:bidi="ar-SA"/>
    </w:rPr>
  </w:style>
  <w:style w:type="character" w:customStyle="1" w:styleId="40">
    <w:name w:val="批注主题 Char"/>
    <w:link w:val="19"/>
    <w:qFormat/>
    <w:uiPriority w:val="0"/>
    <w:rPr>
      <w:rFonts w:eastAsia="宋体"/>
      <w:b/>
      <w:bCs/>
      <w:kern w:val="2"/>
      <w:sz w:val="21"/>
      <w:szCs w:val="24"/>
      <w:lang w:val="en-US" w:eastAsia="zh-CN" w:bidi="ar-SA"/>
    </w:rPr>
  </w:style>
  <w:style w:type="character" w:customStyle="1" w:styleId="41">
    <w:name w:val="font51"/>
    <w:basedOn w:val="22"/>
    <w:qFormat/>
    <w:uiPriority w:val="0"/>
    <w:rPr>
      <w:rFonts w:hint="eastAsia" w:ascii="宋体" w:hAnsi="宋体" w:eastAsia="宋体" w:cs="宋体"/>
      <w:color w:val="000000"/>
      <w:sz w:val="18"/>
      <w:szCs w:val="18"/>
      <w:u w:val="none"/>
    </w:rPr>
  </w:style>
  <w:style w:type="character" w:customStyle="1" w:styleId="42">
    <w:name w:val="font31"/>
    <w:basedOn w:val="22"/>
    <w:qFormat/>
    <w:uiPriority w:val="0"/>
    <w:rPr>
      <w:rFonts w:hint="default" w:ascii="Microsoft Himalaya" w:hAnsi="Microsoft Himalaya" w:eastAsia="Microsoft Himalaya" w:cs="Microsoft Himalaya"/>
      <w:color w:val="000000"/>
      <w:sz w:val="20"/>
      <w:szCs w:val="20"/>
      <w:u w:val="none"/>
    </w:rPr>
  </w:style>
  <w:style w:type="character" w:customStyle="1" w:styleId="43">
    <w:name w:val="apple-converted-space"/>
    <w:qFormat/>
    <w:uiPriority w:val="0"/>
    <w:rPr>
      <w:rFonts w:cs="Times New Roman"/>
    </w:rPr>
  </w:style>
  <w:style w:type="character" w:customStyle="1" w:styleId="44">
    <w:name w:val="15"/>
    <w:basedOn w:val="22"/>
    <w:qFormat/>
    <w:uiPriority w:val="0"/>
    <w:rPr>
      <w:rFonts w:hint="eastAsia" w:ascii="MingLiU" w:hAnsi="MingLiU" w:eastAsia="MingLiU"/>
      <w:sz w:val="30"/>
      <w:szCs w:val="30"/>
    </w:rPr>
  </w:style>
  <w:style w:type="character" w:customStyle="1" w:styleId="45">
    <w:name w:val="font11"/>
    <w:basedOn w:val="22"/>
    <w:qFormat/>
    <w:uiPriority w:val="0"/>
    <w:rPr>
      <w:rFonts w:hint="eastAsia" w:ascii="仿宋" w:hAnsi="仿宋" w:eastAsia="仿宋" w:cs="仿宋"/>
      <w:color w:val="000000"/>
      <w:sz w:val="24"/>
      <w:szCs w:val="24"/>
      <w:u w:val="none"/>
    </w:rPr>
  </w:style>
  <w:style w:type="character" w:customStyle="1" w:styleId="46">
    <w:name w:val="font141"/>
    <w:basedOn w:val="22"/>
    <w:qFormat/>
    <w:uiPriority w:val="0"/>
    <w:rPr>
      <w:rFonts w:hint="eastAsia" w:ascii="宋体" w:hAnsi="宋体" w:eastAsia="宋体" w:cs="宋体"/>
      <w:b/>
      <w:color w:val="000000"/>
      <w:sz w:val="18"/>
      <w:szCs w:val="18"/>
      <w:u w:val="none"/>
    </w:rPr>
  </w:style>
  <w:style w:type="character" w:customStyle="1" w:styleId="47">
    <w:name w:val="font61"/>
    <w:basedOn w:val="22"/>
    <w:qFormat/>
    <w:uiPriority w:val="0"/>
    <w:rPr>
      <w:rFonts w:hint="default" w:ascii="Times New Roman" w:hAnsi="Times New Roman" w:cs="Times New Roman"/>
      <w:color w:val="000000"/>
      <w:sz w:val="18"/>
      <w:szCs w:val="18"/>
      <w:u w:val="none"/>
    </w:rPr>
  </w:style>
  <w:style w:type="character" w:customStyle="1" w:styleId="48">
    <w:name w:val="font41"/>
    <w:basedOn w:val="22"/>
    <w:qFormat/>
    <w:uiPriority w:val="0"/>
    <w:rPr>
      <w:rFonts w:hint="eastAsia" w:ascii="宋体" w:hAnsi="宋体" w:eastAsia="宋体" w:cs="宋体"/>
      <w:color w:val="000000"/>
      <w:sz w:val="16"/>
      <w:szCs w:val="16"/>
      <w:u w:val="none"/>
    </w:rPr>
  </w:style>
  <w:style w:type="character" w:customStyle="1" w:styleId="49">
    <w:name w:val="font121"/>
    <w:basedOn w:val="22"/>
    <w:qFormat/>
    <w:uiPriority w:val="0"/>
    <w:rPr>
      <w:rFonts w:ascii="华文仿宋" w:hAnsi="华文仿宋" w:eastAsia="华文仿宋" w:cs="华文仿宋"/>
      <w:color w:val="000000"/>
      <w:sz w:val="20"/>
      <w:szCs w:val="20"/>
      <w:u w:val="none"/>
    </w:rPr>
  </w:style>
  <w:style w:type="character" w:customStyle="1" w:styleId="50">
    <w:name w:val="font21"/>
    <w:basedOn w:val="22"/>
    <w:qFormat/>
    <w:uiPriority w:val="0"/>
    <w:rPr>
      <w:rFonts w:hint="eastAsia" w:ascii="宋体" w:hAnsi="宋体" w:eastAsia="宋体" w:cs="宋体"/>
      <w:b/>
      <w:color w:val="000000"/>
      <w:sz w:val="32"/>
      <w:szCs w:val="32"/>
      <w:u w:val="none"/>
    </w:rPr>
  </w:style>
  <w:style w:type="character" w:customStyle="1" w:styleId="51">
    <w:name w:val="font01"/>
    <w:basedOn w:val="22"/>
    <w:qFormat/>
    <w:uiPriority w:val="0"/>
    <w:rPr>
      <w:rFonts w:hint="default" w:ascii="Microsoft Himalaya" w:hAnsi="Microsoft Himalaya" w:eastAsia="Microsoft Himalaya" w:cs="Microsoft Himalaya"/>
      <w:color w:val="000000"/>
      <w:sz w:val="20"/>
      <w:szCs w:val="20"/>
      <w:u w:val="none"/>
    </w:rPr>
  </w:style>
  <w:style w:type="character" w:customStyle="1" w:styleId="52">
    <w:name w:val="font181"/>
    <w:basedOn w:val="22"/>
    <w:qFormat/>
    <w:uiPriority w:val="0"/>
    <w:rPr>
      <w:rFonts w:hint="eastAsia" w:ascii="宋体" w:hAnsi="宋体" w:eastAsia="宋体" w:cs="宋体"/>
      <w:color w:val="000000"/>
      <w:sz w:val="18"/>
      <w:szCs w:val="18"/>
      <w:u w:val="none"/>
    </w:rPr>
  </w:style>
  <w:style w:type="character" w:customStyle="1" w:styleId="53">
    <w:name w:val="Heading 2 Char"/>
    <w:qFormat/>
    <w:locked/>
    <w:uiPriority w:val="0"/>
    <w:rPr>
      <w:rFonts w:ascii="Cambria" w:hAnsi="Cambria" w:eastAsia="宋体" w:cs="Times New Roman"/>
      <w:b/>
      <w:bCs/>
      <w:sz w:val="32"/>
      <w:szCs w:val="32"/>
    </w:rPr>
  </w:style>
  <w:style w:type="character" w:customStyle="1" w:styleId="54">
    <w:name w:val="font241"/>
    <w:basedOn w:val="22"/>
    <w:qFormat/>
    <w:uiPriority w:val="0"/>
    <w:rPr>
      <w:rFonts w:ascii="华文仿宋" w:hAnsi="华文仿宋" w:eastAsia="华文仿宋" w:cs="华文仿宋"/>
      <w:color w:val="000000"/>
      <w:sz w:val="20"/>
      <w:szCs w:val="20"/>
      <w:u w:val="none"/>
    </w:rPr>
  </w:style>
  <w:style w:type="character" w:customStyle="1" w:styleId="55">
    <w:name w:val="font81"/>
    <w:basedOn w:val="22"/>
    <w:qFormat/>
    <w:uiPriority w:val="0"/>
    <w:rPr>
      <w:rFonts w:hint="default" w:ascii="Times New Roman" w:hAnsi="Times New Roman" w:cs="Times New Roman"/>
      <w:color w:val="000000"/>
      <w:sz w:val="18"/>
      <w:szCs w:val="18"/>
      <w:u w:val="none"/>
    </w:rPr>
  </w:style>
  <w:style w:type="paragraph" w:styleId="56">
    <w:name w:val="List Paragraph"/>
    <w:basedOn w:val="1"/>
    <w:qFormat/>
    <w:uiPriority w:val="0"/>
    <w:pPr>
      <w:ind w:firstLine="420" w:firstLineChars="200"/>
    </w:pPr>
  </w:style>
  <w:style w:type="paragraph" w:customStyle="1" w:styleId="57">
    <w:name w:val="1111"/>
    <w:basedOn w:val="1"/>
    <w:qFormat/>
    <w:uiPriority w:val="0"/>
    <w:pPr>
      <w:spacing w:line="360" w:lineRule="auto"/>
      <w:ind w:firstLine="200" w:firstLineChars="200"/>
    </w:pPr>
    <w:rPr>
      <w:rFonts w:eastAsia="仿宋_GB2312"/>
      <w:sz w:val="24"/>
    </w:rPr>
  </w:style>
  <w:style w:type="paragraph" w:customStyle="1" w:styleId="58">
    <w:name w:val="_Style 1"/>
    <w:basedOn w:val="1"/>
    <w:qFormat/>
    <w:uiPriority w:val="0"/>
    <w:rPr>
      <w:rFonts w:ascii="Times New Roman" w:hAnsi="Times New Roman"/>
    </w:rPr>
  </w:style>
  <w:style w:type="paragraph" w:customStyle="1" w:styleId="59">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emf"/><Relationship Id="rId12" Type="http://schemas.openxmlformats.org/officeDocument/2006/relationships/oleObject" Target="embeddings/oleObject3.bin"/><Relationship Id="rId11" Type="http://schemas.openxmlformats.org/officeDocument/2006/relationships/image" Target="media/image2.e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1808</Words>
  <Characters>10311</Characters>
  <Lines>85</Lines>
  <Paragraphs>24</Paragraphs>
  <TotalTime>89</TotalTime>
  <ScaleCrop>false</ScaleCrop>
  <LinksUpToDate>false</LinksUpToDate>
  <CharactersWithSpaces>12095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2017-09-01T08:20:00Z</dcterms:created>
  <dc:creator>Administrator</dc:creator>
  <cp:lastModifiedBy>kiwe</cp:lastModifiedBy>
  <cp:lastPrinted>2018-11-17T11:30:00Z</cp:lastPrinted>
  <dcterms:modified xsi:type="dcterms:W3CDTF">2021-11-23T07:08:49Z</dcterms:modified>
  <dc:title>岳阳市2012-2017年</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3C01DC0734E443939E1409972FB8679C</vt:lpwstr>
  </property>
</Properties>
</file>