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岳阳市云溪区预算支出绩效评价自评报告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建档立卡贫困户子女资助</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全区</w:t>
      </w:r>
      <w:r>
        <w:rPr>
          <w:rFonts w:eastAsia="仿宋_GB2312"/>
          <w:sz w:val="32"/>
          <w:u w:val="single"/>
        </w:rPr>
        <w:t>中小学</w:t>
      </w:r>
      <w:r>
        <w:rPr>
          <w:rFonts w:hint="eastAsia" w:eastAsia="仿宋_GB2312"/>
          <w:sz w:val="32"/>
          <w:u w:val="single"/>
        </w:rPr>
        <w:t>及幼儿园</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云溪区</w:t>
      </w:r>
      <w:r>
        <w:rPr>
          <w:rFonts w:eastAsia="仿宋_GB2312"/>
          <w:sz w:val="32"/>
          <w:u w:val="single"/>
        </w:rPr>
        <w:t>教育体育局</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部门（单位）评价组</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eastAsia="仿宋_GB2312"/>
          <w:sz w:val="32"/>
        </w:rPr>
        <w:t>202</w:t>
      </w:r>
      <w:r>
        <w:rPr>
          <w:rFonts w:hint="eastAsia" w:eastAsia="仿宋_GB2312"/>
          <w:sz w:val="32"/>
        </w:rPr>
        <w:t>2年3月25日</w:t>
      </w:r>
    </w:p>
    <w:p>
      <w:pPr>
        <w:spacing w:line="348" w:lineRule="auto"/>
        <w:jc w:val="center"/>
        <w:rPr>
          <w:rFonts w:eastAsia="仿宋_GB2312"/>
          <w:sz w:val="32"/>
        </w:rPr>
      </w:pPr>
      <w:r>
        <w:rPr>
          <w:rFonts w:hint="eastAsia" w:eastAsia="仿宋_GB2312"/>
          <w:sz w:val="32"/>
        </w:rPr>
        <w:t>岳阳市云溪区财政局（制）</w:t>
      </w:r>
    </w:p>
    <w:tbl>
      <w:tblPr>
        <w:tblStyle w:val="5"/>
        <w:tblW w:w="10000" w:type="dxa"/>
        <w:jc w:val="center"/>
        <w:tblLayout w:type="autofit"/>
        <w:tblCellMar>
          <w:top w:w="0" w:type="dxa"/>
          <w:left w:w="108" w:type="dxa"/>
          <w:bottom w:w="0" w:type="dxa"/>
          <w:right w:w="108" w:type="dxa"/>
        </w:tblCellMar>
      </w:tblPr>
      <w:tblGrid>
        <w:gridCol w:w="1135"/>
        <w:gridCol w:w="992"/>
        <w:gridCol w:w="1106"/>
        <w:gridCol w:w="1290"/>
        <w:gridCol w:w="1859"/>
        <w:gridCol w:w="1015"/>
        <w:gridCol w:w="708"/>
        <w:gridCol w:w="993"/>
        <w:gridCol w:w="902"/>
      </w:tblGrid>
      <w:tr>
        <w:tblPrEx>
          <w:tblCellMar>
            <w:top w:w="0" w:type="dxa"/>
            <w:left w:w="108" w:type="dxa"/>
            <w:bottom w:w="0" w:type="dxa"/>
            <w:right w:w="108" w:type="dxa"/>
          </w:tblCellMar>
        </w:tblPrEx>
        <w:trPr>
          <w:trHeight w:val="690" w:hRule="atLeast"/>
          <w:jc w:val="center"/>
        </w:trPr>
        <w:tc>
          <w:tcPr>
            <w:tcW w:w="10000" w:type="dxa"/>
            <w:gridSpan w:val="9"/>
            <w:tcBorders>
              <w:top w:val="nil"/>
              <w:left w:val="nil"/>
              <w:bottom w:val="nil"/>
              <w:right w:val="nil"/>
            </w:tcBorders>
            <w:noWrap/>
            <w:vAlign w:val="center"/>
          </w:tcPr>
          <w:p>
            <w:pPr>
              <w:widowControl/>
              <w:rPr>
                <w:rFonts w:eastAsia="方正小标宋_GBK"/>
                <w:color w:val="000000"/>
                <w:kern w:val="0"/>
                <w:sz w:val="36"/>
                <w:szCs w:val="36"/>
              </w:rPr>
            </w:pPr>
          </w:p>
        </w:tc>
      </w:tr>
      <w:tr>
        <w:tblPrEx>
          <w:tblCellMar>
            <w:top w:w="0" w:type="dxa"/>
            <w:left w:w="108" w:type="dxa"/>
            <w:bottom w:w="0" w:type="dxa"/>
            <w:right w:w="108" w:type="dxa"/>
          </w:tblCellMar>
        </w:tblPrEx>
        <w:trPr>
          <w:trHeight w:val="270" w:hRule="atLeast"/>
          <w:jc w:val="center"/>
        </w:trPr>
        <w:tc>
          <w:tcPr>
            <w:tcW w:w="10000" w:type="dxa"/>
            <w:gridSpan w:val="9"/>
            <w:tcBorders>
              <w:top w:val="nil"/>
              <w:left w:val="nil"/>
              <w:bottom w:val="single" w:color="auto" w:sz="4" w:space="0"/>
              <w:right w:val="nil"/>
            </w:tcBorders>
            <w:noWrap/>
            <w:vAlign w:val="center"/>
          </w:tcPr>
          <w:p>
            <w:pPr>
              <w:widowControl/>
              <w:rPr>
                <w:color w:val="000000"/>
                <w:kern w:val="0"/>
                <w:sz w:val="22"/>
              </w:rPr>
            </w:pP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865" w:type="dxa"/>
            <w:gridSpan w:val="8"/>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建档立卡贫困户子女资助</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5247"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云溪区教育体育局</w:t>
            </w:r>
          </w:p>
        </w:tc>
        <w:tc>
          <w:tcPr>
            <w:tcW w:w="1015"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2603" w:type="dxa"/>
            <w:gridSpan w:val="3"/>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全区各中小学及幼儿园</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098"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290"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年初预算数</w:t>
            </w:r>
          </w:p>
        </w:tc>
        <w:tc>
          <w:tcPr>
            <w:tcW w:w="1859"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全年预算数</w:t>
            </w:r>
          </w:p>
        </w:tc>
        <w:tc>
          <w:tcPr>
            <w:tcW w:w="1015" w:type="dxa"/>
            <w:tcBorders>
              <w:top w:val="nil"/>
              <w:left w:val="nil"/>
              <w:bottom w:val="single" w:color="auto" w:sz="4" w:space="0"/>
              <w:right w:val="single" w:color="auto" w:sz="4" w:space="0"/>
            </w:tcBorders>
          </w:tcPr>
          <w:p>
            <w:pPr>
              <w:rPr>
                <w:rFonts w:eastAsia="仿宋_GB2312"/>
                <w:szCs w:val="21"/>
              </w:rPr>
            </w:pPr>
            <w:r>
              <w:rPr>
                <w:rFonts w:eastAsia="仿宋_GB2312"/>
                <w:szCs w:val="21"/>
              </w:rPr>
              <w:t>全年执行数</w:t>
            </w:r>
          </w:p>
        </w:tc>
        <w:tc>
          <w:tcPr>
            <w:tcW w:w="708" w:type="dxa"/>
            <w:tcBorders>
              <w:top w:val="nil"/>
              <w:left w:val="nil"/>
              <w:bottom w:val="single" w:color="auto" w:sz="4" w:space="0"/>
              <w:right w:val="single" w:color="auto" w:sz="4" w:space="0"/>
            </w:tcBorders>
          </w:tcPr>
          <w:p>
            <w:pPr>
              <w:rPr>
                <w:rFonts w:eastAsia="仿宋_GB2312"/>
                <w:szCs w:val="21"/>
              </w:rPr>
            </w:pPr>
            <w:r>
              <w:rPr>
                <w:rFonts w:eastAsia="仿宋_GB2312"/>
                <w:szCs w:val="21"/>
              </w:rPr>
              <w:t>分值</w:t>
            </w:r>
          </w:p>
        </w:tc>
        <w:tc>
          <w:tcPr>
            <w:tcW w:w="993" w:type="dxa"/>
            <w:tcBorders>
              <w:top w:val="nil"/>
              <w:left w:val="nil"/>
              <w:bottom w:val="single" w:color="auto" w:sz="4" w:space="0"/>
              <w:right w:val="single" w:color="auto" w:sz="4" w:space="0"/>
            </w:tcBorders>
          </w:tcPr>
          <w:p>
            <w:pPr>
              <w:rPr>
                <w:rFonts w:eastAsia="仿宋_GB2312"/>
                <w:szCs w:val="21"/>
              </w:rPr>
            </w:pPr>
            <w:r>
              <w:rPr>
                <w:rFonts w:eastAsia="仿宋_GB2312"/>
                <w:szCs w:val="21"/>
              </w:rPr>
              <w:t>执行率</w:t>
            </w:r>
          </w:p>
        </w:tc>
        <w:tc>
          <w:tcPr>
            <w:tcW w:w="902" w:type="dxa"/>
            <w:tcBorders>
              <w:top w:val="nil"/>
              <w:left w:val="nil"/>
              <w:bottom w:val="single" w:color="auto" w:sz="4" w:space="0"/>
              <w:right w:val="single" w:color="auto" w:sz="4" w:space="0"/>
            </w:tcBorders>
          </w:tcPr>
          <w:p>
            <w:pPr>
              <w:rPr>
                <w:rFonts w:eastAsia="仿宋_GB2312"/>
                <w:szCs w:val="21"/>
              </w:rPr>
            </w:pPr>
            <w:r>
              <w:rPr>
                <w:rFonts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098"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290"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2</w:t>
            </w:r>
            <w:r>
              <w:rPr>
                <w:rFonts w:hint="eastAsia" w:eastAsia="仿宋_GB2312"/>
                <w:color w:val="000000"/>
                <w:kern w:val="0"/>
                <w:szCs w:val="21"/>
              </w:rPr>
              <w:t>52.8273</w:t>
            </w:r>
          </w:p>
        </w:tc>
        <w:tc>
          <w:tcPr>
            <w:tcW w:w="1859"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2</w:t>
            </w:r>
            <w:r>
              <w:rPr>
                <w:rFonts w:hint="eastAsia" w:eastAsia="仿宋_GB2312"/>
                <w:color w:val="000000"/>
                <w:kern w:val="0"/>
                <w:szCs w:val="21"/>
              </w:rPr>
              <w:t>52.8273</w:t>
            </w:r>
          </w:p>
        </w:tc>
        <w:tc>
          <w:tcPr>
            <w:tcW w:w="101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52.8273</w:t>
            </w:r>
          </w:p>
        </w:tc>
        <w:tc>
          <w:tcPr>
            <w:tcW w:w="70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10</w:t>
            </w:r>
          </w:p>
        </w:tc>
        <w:tc>
          <w:tcPr>
            <w:tcW w:w="99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100%</w:t>
            </w:r>
          </w:p>
        </w:tc>
        <w:tc>
          <w:tcPr>
            <w:tcW w:w="902"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098"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290"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110.5区</w:t>
            </w:r>
          </w:p>
        </w:tc>
        <w:tc>
          <w:tcPr>
            <w:tcW w:w="1859"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110.5区</w:t>
            </w:r>
          </w:p>
        </w:tc>
        <w:tc>
          <w:tcPr>
            <w:tcW w:w="1015"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110.5区</w:t>
            </w:r>
          </w:p>
        </w:tc>
        <w:tc>
          <w:tcPr>
            <w:tcW w:w="70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02"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098"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上年结转资金　</w:t>
            </w:r>
          </w:p>
        </w:tc>
        <w:tc>
          <w:tcPr>
            <w:tcW w:w="1290"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0</w:t>
            </w:r>
          </w:p>
        </w:tc>
        <w:tc>
          <w:tcPr>
            <w:tcW w:w="1859"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0</w:t>
            </w:r>
          </w:p>
        </w:tc>
        <w:tc>
          <w:tcPr>
            <w:tcW w:w="1015"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0</w:t>
            </w:r>
          </w:p>
        </w:tc>
        <w:tc>
          <w:tcPr>
            <w:tcW w:w="70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02"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098" w:type="dxa"/>
            <w:gridSpan w:val="2"/>
            <w:tcBorders>
              <w:top w:val="nil"/>
              <w:left w:val="nil"/>
              <w:bottom w:val="single" w:color="auto" w:sz="4" w:space="0"/>
              <w:right w:val="single" w:color="auto" w:sz="4" w:space="0"/>
            </w:tcBorders>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290" w:type="dxa"/>
            <w:tcBorders>
              <w:top w:val="nil"/>
              <w:left w:val="nil"/>
              <w:bottom w:val="single" w:color="auto" w:sz="4" w:space="0"/>
              <w:right w:val="single" w:color="auto" w:sz="4" w:space="0"/>
            </w:tcBorders>
            <w:vAlign w:val="center"/>
          </w:tcPr>
          <w:p>
            <w:pPr>
              <w:widowControl/>
              <w:jc w:val="center"/>
              <w:rPr>
                <w:rFonts w:eastAsia="仿宋_GB2312"/>
                <w:color w:val="000000" w:themeColor="text1"/>
                <w:kern w:val="0"/>
                <w:sz w:val="15"/>
                <w:szCs w:val="15"/>
              </w:rPr>
            </w:pPr>
            <w:r>
              <w:rPr>
                <w:rFonts w:hint="eastAsia" w:eastAsia="仿宋_GB2312"/>
                <w:color w:val="000000" w:themeColor="text1"/>
                <w:kern w:val="0"/>
                <w:sz w:val="15"/>
                <w:szCs w:val="15"/>
              </w:rPr>
              <w:t>89.09（中央）53.2373（省级）</w:t>
            </w:r>
          </w:p>
        </w:tc>
        <w:tc>
          <w:tcPr>
            <w:tcW w:w="1859" w:type="dxa"/>
            <w:tcBorders>
              <w:top w:val="nil"/>
              <w:left w:val="nil"/>
              <w:bottom w:val="single" w:color="auto" w:sz="4" w:space="0"/>
              <w:right w:val="single" w:color="auto" w:sz="4" w:space="0"/>
            </w:tcBorders>
            <w:vAlign w:val="center"/>
          </w:tcPr>
          <w:p>
            <w:pPr>
              <w:widowControl/>
              <w:jc w:val="center"/>
              <w:rPr>
                <w:rFonts w:eastAsia="仿宋_GB2312"/>
                <w:color w:val="000000" w:themeColor="text1"/>
                <w:kern w:val="0"/>
                <w:sz w:val="15"/>
                <w:szCs w:val="15"/>
              </w:rPr>
            </w:pPr>
            <w:r>
              <w:rPr>
                <w:rFonts w:hint="eastAsia" w:eastAsia="仿宋_GB2312"/>
                <w:color w:val="000000" w:themeColor="text1"/>
                <w:kern w:val="0"/>
                <w:sz w:val="15"/>
                <w:szCs w:val="15"/>
              </w:rPr>
              <w:t>89.09（中央）53.2373（省级）</w:t>
            </w:r>
          </w:p>
        </w:tc>
        <w:tc>
          <w:tcPr>
            <w:tcW w:w="1015" w:type="dxa"/>
            <w:tcBorders>
              <w:top w:val="nil"/>
              <w:left w:val="nil"/>
              <w:bottom w:val="single" w:color="auto" w:sz="4" w:space="0"/>
              <w:right w:val="single" w:color="auto" w:sz="4" w:space="0"/>
            </w:tcBorders>
            <w:vAlign w:val="center"/>
          </w:tcPr>
          <w:p>
            <w:pPr>
              <w:widowControl/>
              <w:jc w:val="center"/>
              <w:rPr>
                <w:rFonts w:eastAsia="仿宋_GB2312"/>
                <w:color w:val="000000" w:themeColor="text1"/>
                <w:kern w:val="0"/>
                <w:sz w:val="15"/>
                <w:szCs w:val="15"/>
              </w:rPr>
            </w:pPr>
            <w:r>
              <w:rPr>
                <w:rFonts w:hint="eastAsia" w:eastAsia="仿宋_GB2312"/>
                <w:color w:val="000000" w:themeColor="text1"/>
                <w:kern w:val="0"/>
                <w:sz w:val="15"/>
                <w:szCs w:val="15"/>
              </w:rPr>
              <w:t>89.09（中央）53.2373（省级）</w:t>
            </w:r>
          </w:p>
        </w:tc>
        <w:tc>
          <w:tcPr>
            <w:tcW w:w="70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02"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年度总</w:t>
            </w:r>
          </w:p>
          <w:p>
            <w:pPr>
              <w:widowControl/>
              <w:jc w:val="center"/>
              <w:rPr>
                <w:rFonts w:eastAsia="仿宋_GB2312"/>
                <w:color w:val="000000"/>
                <w:kern w:val="0"/>
                <w:szCs w:val="21"/>
              </w:rPr>
            </w:pPr>
            <w:r>
              <w:rPr>
                <w:rFonts w:eastAsia="仿宋_GB2312"/>
                <w:color w:val="000000"/>
                <w:kern w:val="0"/>
                <w:szCs w:val="21"/>
              </w:rPr>
              <w:t>体目标</w:t>
            </w:r>
          </w:p>
        </w:tc>
        <w:tc>
          <w:tcPr>
            <w:tcW w:w="5247" w:type="dxa"/>
            <w:gridSpan w:val="4"/>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3618" w:type="dxa"/>
            <w:gridSpan w:val="4"/>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5247" w:type="dxa"/>
            <w:gridSpan w:val="4"/>
            <w:tcBorders>
              <w:top w:val="single" w:color="auto" w:sz="4" w:space="0"/>
              <w:left w:val="nil"/>
              <w:bottom w:val="single" w:color="auto" w:sz="4" w:space="0"/>
              <w:right w:val="single" w:color="000000" w:sz="4" w:space="0"/>
            </w:tcBorders>
            <w:vAlign w:val="center"/>
          </w:tcPr>
          <w:p>
            <w:pPr>
              <w:widowControl/>
              <w:jc w:val="left"/>
              <w:rPr>
                <w:rFonts w:ascii="仿宋_GB2312" w:hAnsi="仿宋_GB2312" w:eastAsia="仿宋_GB2312" w:cs="仿宋_GB2312"/>
                <w:color w:val="000000"/>
                <w:sz w:val="24"/>
              </w:rPr>
            </w:pPr>
            <w:r>
              <w:rPr>
                <w:rFonts w:hint="eastAsia" w:eastAsia="仿宋_GB2312"/>
                <w:color w:val="000000"/>
                <w:kern w:val="0"/>
                <w:szCs w:val="21"/>
              </w:rPr>
              <w:t>2021年义务教育家庭经济困难学生生活补助123.9125万元，普通高中助学金72.6万元，中职助学金9.4万元，学前教育困难幼儿入园补助40.55万元，免教辅6.3648万元。</w:t>
            </w:r>
          </w:p>
        </w:tc>
        <w:tc>
          <w:tcPr>
            <w:tcW w:w="3618" w:type="dxa"/>
            <w:gridSpan w:val="4"/>
            <w:tcBorders>
              <w:top w:val="single" w:color="auto" w:sz="4" w:space="0"/>
              <w:left w:val="nil"/>
              <w:bottom w:val="single" w:color="auto" w:sz="4" w:space="0"/>
              <w:right w:val="single" w:color="auto" w:sz="4" w:space="0"/>
            </w:tcBorders>
            <w:vAlign w:val="center"/>
          </w:tcPr>
          <w:p>
            <w:pPr>
              <w:widowControl/>
              <w:ind w:firstLine="1260" w:firstLineChars="600"/>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完成</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1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8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0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9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产出</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106" w:type="dxa"/>
            <w:vMerge w:val="restar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290"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hint="eastAsia" w:eastAsia="仿宋_GB2312"/>
                <w:color w:val="000000"/>
                <w:kern w:val="0"/>
                <w:szCs w:val="21"/>
              </w:rPr>
              <w:t>补助资金（义务教育、普通高中、中职、学前教育）</w:t>
            </w: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2</w:t>
            </w:r>
            <w:r>
              <w:rPr>
                <w:rFonts w:hint="eastAsia" w:eastAsia="仿宋_GB2312"/>
                <w:color w:val="000000"/>
                <w:kern w:val="0"/>
                <w:szCs w:val="21"/>
              </w:rPr>
              <w:t>52.8273</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52.8273</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w:t>
            </w:r>
            <w:r>
              <w:rPr>
                <w:rFonts w:eastAsia="仿宋_GB2312"/>
                <w:color w:val="000000"/>
                <w:kern w:val="0"/>
                <w:szCs w:val="21"/>
              </w:rPr>
              <w:t>0</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w:t>
            </w:r>
            <w:r>
              <w:rPr>
                <w:rFonts w:eastAsia="仿宋_GB2312"/>
                <w:color w:val="000000"/>
                <w:kern w:val="0"/>
                <w:szCs w:val="21"/>
              </w:rPr>
              <w:t>0</w:t>
            </w: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566"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jc w:val="left"/>
              <w:rPr>
                <w:rFonts w:eastAsia="仿宋_GB2312"/>
                <w:color w:val="000000"/>
                <w:kern w:val="0"/>
                <w:szCs w:val="21"/>
              </w:rPr>
            </w:pPr>
          </w:p>
        </w:tc>
        <w:tc>
          <w:tcPr>
            <w:tcW w:w="1106" w:type="dxa"/>
            <w:vMerge w:val="continue"/>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jc w:val="left"/>
              <w:rPr>
                <w:rFonts w:eastAsia="仿宋_GB2312"/>
                <w:color w:val="000000"/>
                <w:kern w:val="0"/>
                <w:szCs w:val="21"/>
              </w:rPr>
            </w:pPr>
          </w:p>
        </w:tc>
        <w:tc>
          <w:tcPr>
            <w:tcW w:w="1106" w:type="dxa"/>
            <w:vMerge w:val="restar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29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hint="eastAsia" w:eastAsia="仿宋_GB2312"/>
                <w:szCs w:val="21"/>
              </w:rPr>
              <w:t>按</w:t>
            </w:r>
            <w:r>
              <w:rPr>
                <w:rFonts w:eastAsia="仿宋_GB2312"/>
                <w:szCs w:val="21"/>
              </w:rPr>
              <w:t>标准拨付</w:t>
            </w: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hint="eastAsia" w:eastAsia="仿宋_GB2312"/>
                <w:szCs w:val="21"/>
              </w:rPr>
              <w:t>完成</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jc w:val="left"/>
              <w:rPr>
                <w:rFonts w:eastAsia="仿宋_GB2312"/>
                <w:color w:val="000000"/>
                <w:kern w:val="0"/>
                <w:szCs w:val="21"/>
              </w:rPr>
            </w:pPr>
          </w:p>
        </w:tc>
        <w:tc>
          <w:tcPr>
            <w:tcW w:w="1106" w:type="dxa"/>
            <w:vMerge w:val="continue"/>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jc w:val="left"/>
              <w:rPr>
                <w:rFonts w:eastAsia="仿宋_GB2312"/>
                <w:color w:val="000000"/>
                <w:kern w:val="0"/>
                <w:szCs w:val="21"/>
              </w:rPr>
            </w:pPr>
          </w:p>
        </w:tc>
        <w:tc>
          <w:tcPr>
            <w:tcW w:w="1106" w:type="dxa"/>
            <w:vMerge w:val="restar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29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hint="eastAsia" w:eastAsia="仿宋_GB2312"/>
                <w:color w:val="000000"/>
                <w:kern w:val="0"/>
                <w:szCs w:val="21"/>
              </w:rPr>
              <w:t>按时发放</w:t>
            </w: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hint="eastAsia" w:eastAsia="仿宋_GB2312"/>
                <w:szCs w:val="21"/>
              </w:rPr>
              <w:t>完成</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771"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jc w:val="left"/>
              <w:rPr>
                <w:rFonts w:eastAsia="仿宋_GB2312"/>
                <w:color w:val="000000"/>
                <w:kern w:val="0"/>
                <w:szCs w:val="21"/>
              </w:rPr>
            </w:pPr>
          </w:p>
        </w:tc>
        <w:tc>
          <w:tcPr>
            <w:tcW w:w="1106" w:type="dxa"/>
            <w:vMerge w:val="continue"/>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jc w:val="left"/>
              <w:rPr>
                <w:rFonts w:eastAsia="仿宋_GB2312"/>
                <w:color w:val="000000"/>
                <w:kern w:val="0"/>
                <w:szCs w:val="21"/>
              </w:rPr>
            </w:pPr>
          </w:p>
        </w:tc>
        <w:tc>
          <w:tcPr>
            <w:tcW w:w="1106" w:type="dxa"/>
            <w:vMerge w:val="restar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29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hint="eastAsia" w:eastAsia="仿宋_GB2312"/>
                <w:szCs w:val="21"/>
              </w:rPr>
              <w:t>控</w:t>
            </w:r>
            <w:r>
              <w:rPr>
                <w:rFonts w:hint="eastAsia" w:eastAsia="仿宋_GB2312"/>
                <w:color w:val="000000"/>
                <w:kern w:val="0"/>
                <w:szCs w:val="21"/>
              </w:rPr>
              <w:t>制</w:t>
            </w:r>
            <w:r>
              <w:rPr>
                <w:rFonts w:eastAsia="仿宋_GB2312"/>
                <w:color w:val="000000"/>
                <w:kern w:val="0"/>
                <w:szCs w:val="21"/>
              </w:rPr>
              <w:t>支出在预算</w:t>
            </w: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hint="eastAsia" w:eastAsia="仿宋_GB2312"/>
                <w:szCs w:val="21"/>
              </w:rPr>
              <w:t>完</w:t>
            </w:r>
            <w:r>
              <w:rPr>
                <w:rFonts w:eastAsia="仿宋_GB2312"/>
                <w:szCs w:val="21"/>
              </w:rPr>
              <w:t>成</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w:t>
            </w: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574"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106"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w:t>
            </w: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70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效益</w:t>
            </w:r>
          </w:p>
          <w:p>
            <w:pPr>
              <w:widowControl/>
              <w:jc w:val="center"/>
              <w:rPr>
                <w:rFonts w:eastAsia="仿宋_GB2312"/>
                <w:color w:val="000000"/>
                <w:kern w:val="0"/>
                <w:szCs w:val="21"/>
              </w:rPr>
            </w:pPr>
            <w:r>
              <w:rPr>
                <w:rFonts w:eastAsia="仿宋_GB2312"/>
                <w:color w:val="000000"/>
                <w:kern w:val="0"/>
                <w:szCs w:val="21"/>
              </w:rPr>
              <w:t>指标</w:t>
            </w:r>
          </w:p>
          <w:p>
            <w:pPr>
              <w:widowControl/>
              <w:jc w:val="left"/>
              <w:rPr>
                <w:rFonts w:eastAsia="仿宋_GB2312"/>
                <w:color w:val="000000"/>
                <w:kern w:val="0"/>
                <w:sz w:val="18"/>
                <w:szCs w:val="18"/>
              </w:rPr>
            </w:pPr>
            <w:r>
              <w:rPr>
                <w:rFonts w:eastAsia="仿宋_GB2312"/>
                <w:color w:val="000000"/>
                <w:kern w:val="0"/>
                <w:sz w:val="18"/>
                <w:szCs w:val="18"/>
              </w:rPr>
              <w:t>（30分）</w:t>
            </w:r>
          </w:p>
          <w:p>
            <w:pPr>
              <w:jc w:val="left"/>
              <w:rPr>
                <w:rFonts w:eastAsia="仿宋_GB2312"/>
                <w:color w:val="000000"/>
                <w:kern w:val="0"/>
                <w:szCs w:val="21"/>
              </w:rPr>
            </w:pPr>
            <w:r>
              <w:rPr>
                <w:rFonts w:eastAsia="仿宋_GB2312"/>
                <w:color w:val="000000"/>
                <w:kern w:val="0"/>
                <w:szCs w:val="21"/>
              </w:rPr>
              <w:t>　</w:t>
            </w:r>
          </w:p>
        </w:tc>
        <w:tc>
          <w:tcPr>
            <w:tcW w:w="1106" w:type="dxa"/>
            <w:vMerge w:val="restar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9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hint="eastAsia" w:eastAsia="仿宋_GB2312"/>
                <w:szCs w:val="21"/>
              </w:rPr>
              <w:t>公</w:t>
            </w:r>
            <w:r>
              <w:rPr>
                <w:rFonts w:eastAsia="仿宋_GB2312"/>
                <w:color w:val="000000"/>
                <w:kern w:val="0"/>
                <w:szCs w:val="21"/>
              </w:rPr>
              <w:t>益项</w:t>
            </w:r>
            <w:r>
              <w:rPr>
                <w:rFonts w:hint="eastAsia" w:eastAsia="仿宋_GB2312"/>
                <w:color w:val="000000"/>
                <w:kern w:val="0"/>
                <w:szCs w:val="21"/>
              </w:rPr>
              <w:t>目</w:t>
            </w: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2</w:t>
            </w:r>
            <w:r>
              <w:rPr>
                <w:rFonts w:hint="eastAsia" w:eastAsia="仿宋_GB2312"/>
                <w:color w:val="000000"/>
                <w:kern w:val="0"/>
                <w:szCs w:val="21"/>
              </w:rPr>
              <w:t>52.8273</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52.8273</w:t>
            </w:r>
          </w:p>
        </w:tc>
        <w:tc>
          <w:tcPr>
            <w:tcW w:w="70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w:t>
            </w:r>
            <w:r>
              <w:rPr>
                <w:rFonts w:eastAsia="仿宋_GB2312"/>
                <w:color w:val="000000"/>
                <w:kern w:val="0"/>
                <w:szCs w:val="21"/>
              </w:rPr>
              <w:t>5</w:t>
            </w:r>
          </w:p>
        </w:tc>
        <w:tc>
          <w:tcPr>
            <w:tcW w:w="99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w:t>
            </w:r>
            <w:r>
              <w:rPr>
                <w:rFonts w:eastAsia="仿宋_GB2312"/>
                <w:color w:val="000000"/>
                <w:kern w:val="0"/>
                <w:szCs w:val="21"/>
              </w:rPr>
              <w:t>5</w:t>
            </w: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left w:val="nil"/>
              <w:right w:val="single" w:color="auto" w:sz="4" w:space="0"/>
            </w:tcBorders>
            <w:vAlign w:val="center"/>
          </w:tcPr>
          <w:p>
            <w:pPr>
              <w:jc w:val="left"/>
              <w:rPr>
                <w:rFonts w:eastAsia="仿宋_GB2312"/>
                <w:color w:val="000000"/>
                <w:kern w:val="0"/>
                <w:szCs w:val="21"/>
              </w:rPr>
            </w:pPr>
          </w:p>
        </w:tc>
        <w:tc>
          <w:tcPr>
            <w:tcW w:w="1106" w:type="dxa"/>
            <w:vMerge w:val="continue"/>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70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left w:val="nil"/>
              <w:right w:val="single" w:color="auto" w:sz="4" w:space="0"/>
            </w:tcBorders>
            <w:vAlign w:val="center"/>
          </w:tcPr>
          <w:p>
            <w:pPr>
              <w:jc w:val="left"/>
              <w:rPr>
                <w:rFonts w:eastAsia="仿宋_GB2312"/>
                <w:color w:val="000000"/>
                <w:kern w:val="0"/>
                <w:szCs w:val="21"/>
              </w:rPr>
            </w:pPr>
          </w:p>
        </w:tc>
        <w:tc>
          <w:tcPr>
            <w:tcW w:w="1106" w:type="dxa"/>
            <w:vMerge w:val="restar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9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补助资金发放按政策落实到位</w:t>
            </w: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szCs w:val="21"/>
              </w:rPr>
              <w:t>完</w:t>
            </w:r>
            <w:r>
              <w:rPr>
                <w:rFonts w:eastAsia="仿宋_GB2312"/>
                <w:szCs w:val="21"/>
              </w:rPr>
              <w:t>成</w:t>
            </w:r>
          </w:p>
        </w:tc>
        <w:tc>
          <w:tcPr>
            <w:tcW w:w="70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w:t>
            </w:r>
            <w:r>
              <w:rPr>
                <w:rFonts w:eastAsia="仿宋_GB2312"/>
                <w:color w:val="000000"/>
                <w:kern w:val="0"/>
                <w:szCs w:val="21"/>
              </w:rPr>
              <w:t>5</w:t>
            </w:r>
          </w:p>
        </w:tc>
        <w:tc>
          <w:tcPr>
            <w:tcW w:w="99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w:t>
            </w:r>
            <w:r>
              <w:rPr>
                <w:rFonts w:eastAsia="仿宋_GB2312"/>
                <w:color w:val="000000"/>
                <w:kern w:val="0"/>
                <w:szCs w:val="21"/>
              </w:rPr>
              <w:t>5</w:t>
            </w: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left w:val="nil"/>
              <w:right w:val="single" w:color="auto" w:sz="4" w:space="0"/>
            </w:tcBorders>
            <w:vAlign w:val="center"/>
          </w:tcPr>
          <w:p>
            <w:pPr>
              <w:jc w:val="left"/>
              <w:rPr>
                <w:rFonts w:eastAsia="仿宋_GB2312"/>
                <w:color w:val="000000"/>
                <w:kern w:val="0"/>
                <w:szCs w:val="21"/>
              </w:rPr>
            </w:pPr>
          </w:p>
        </w:tc>
        <w:tc>
          <w:tcPr>
            <w:tcW w:w="1106" w:type="dxa"/>
            <w:vMerge w:val="continue"/>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70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590"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left w:val="nil"/>
              <w:right w:val="single" w:color="auto" w:sz="4" w:space="0"/>
            </w:tcBorders>
            <w:vAlign w:val="center"/>
          </w:tcPr>
          <w:p>
            <w:pPr>
              <w:jc w:val="left"/>
              <w:rPr>
                <w:rFonts w:eastAsia="仿宋_GB2312"/>
                <w:color w:val="000000"/>
                <w:kern w:val="0"/>
                <w:szCs w:val="21"/>
              </w:rPr>
            </w:pPr>
          </w:p>
        </w:tc>
        <w:tc>
          <w:tcPr>
            <w:tcW w:w="11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859"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0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992" w:type="dxa"/>
            <w:vMerge w:val="continue"/>
            <w:tcBorders>
              <w:left w:val="nil"/>
              <w:right w:val="single" w:color="auto" w:sz="4" w:space="0"/>
            </w:tcBorders>
            <w:vAlign w:val="center"/>
          </w:tcPr>
          <w:p>
            <w:pPr>
              <w:jc w:val="left"/>
              <w:rPr>
                <w:rFonts w:eastAsia="仿宋_GB2312"/>
                <w:color w:val="000000"/>
                <w:kern w:val="0"/>
                <w:szCs w:val="21"/>
              </w:rPr>
            </w:pPr>
          </w:p>
        </w:tc>
        <w:tc>
          <w:tcPr>
            <w:tcW w:w="1106"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8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70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02"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750" w:hRule="atLeast"/>
          <w:jc w:val="center"/>
        </w:trPr>
        <w:tc>
          <w:tcPr>
            <w:tcW w:w="1135" w:type="dxa"/>
            <w:vMerge w:val="continue"/>
            <w:tcBorders>
              <w:left w:val="single" w:color="auto" w:sz="4" w:space="0"/>
              <w:right w:val="single" w:color="auto" w:sz="4" w:space="0"/>
            </w:tcBorders>
            <w:vAlign w:val="center"/>
          </w:tcPr>
          <w:p>
            <w:pPr>
              <w:widowControl/>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06" w:type="dxa"/>
            <w:vMerge w:val="restart"/>
            <w:tcBorders>
              <w:top w:val="single" w:color="auto" w:sz="4" w:space="0"/>
              <w:left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859"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106"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290"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859"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70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02"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1065" w:hRule="atLeast"/>
          <w:jc w:val="center"/>
        </w:trPr>
        <w:tc>
          <w:tcPr>
            <w:tcW w:w="1135"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992" w:type="dxa"/>
            <w:vMerge w:val="restart"/>
            <w:tcBorders>
              <w:top w:val="nil"/>
              <w:left w:val="nil"/>
              <w:right w:val="single" w:color="auto" w:sz="4" w:space="0"/>
            </w:tcBorders>
            <w:vAlign w:val="center"/>
          </w:tcPr>
          <w:p>
            <w:pPr>
              <w:widowControl/>
              <w:jc w:val="center"/>
              <w:rPr>
                <w:rFonts w:eastAsia="仿宋_GB2312"/>
                <w:color w:val="000000"/>
                <w:kern w:val="0"/>
                <w:sz w:val="18"/>
                <w:szCs w:val="18"/>
              </w:rPr>
            </w:pPr>
            <w:r>
              <w:rPr>
                <w:rFonts w:eastAsia="仿宋_GB2312"/>
                <w:color w:val="000000"/>
                <w:kern w:val="0"/>
                <w:sz w:val="18"/>
                <w:szCs w:val="18"/>
              </w:rPr>
              <w:t>满意度</w:t>
            </w:r>
          </w:p>
          <w:p>
            <w:pPr>
              <w:widowControl/>
              <w:jc w:val="center"/>
              <w:rPr>
                <w:rFonts w:eastAsia="仿宋_GB2312"/>
                <w:color w:val="000000"/>
                <w:kern w:val="0"/>
                <w:sz w:val="18"/>
                <w:szCs w:val="18"/>
              </w:rPr>
            </w:pPr>
            <w:r>
              <w:rPr>
                <w:rFonts w:eastAsia="仿宋_GB2312"/>
                <w:color w:val="000000"/>
                <w:kern w:val="0"/>
                <w:sz w:val="18"/>
                <w:szCs w:val="18"/>
              </w:rPr>
              <w:t>指标</w:t>
            </w:r>
          </w:p>
          <w:p>
            <w:pPr>
              <w:widowControl/>
              <w:jc w:val="center"/>
              <w:rPr>
                <w:rFonts w:eastAsia="仿宋_GB2312"/>
                <w:color w:val="000000"/>
                <w:kern w:val="0"/>
                <w:szCs w:val="21"/>
              </w:rPr>
            </w:pPr>
            <w:r>
              <w:rPr>
                <w:rFonts w:eastAsia="仿宋_GB2312"/>
                <w:color w:val="000000"/>
                <w:kern w:val="0"/>
                <w:sz w:val="18"/>
                <w:szCs w:val="18"/>
              </w:rPr>
              <w:t>（10分）</w:t>
            </w:r>
          </w:p>
        </w:tc>
        <w:tc>
          <w:tcPr>
            <w:tcW w:w="1106" w:type="dxa"/>
            <w:vMerge w:val="restart"/>
            <w:tcBorders>
              <w:top w:val="nil"/>
              <w:left w:val="nil"/>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90"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hint="eastAsia" w:eastAsia="仿宋_GB2312"/>
                <w:sz w:val="15"/>
                <w:szCs w:val="15"/>
              </w:rPr>
              <w:t>教师、</w:t>
            </w:r>
            <w:r>
              <w:rPr>
                <w:rFonts w:eastAsia="仿宋_GB2312"/>
                <w:sz w:val="15"/>
                <w:szCs w:val="15"/>
              </w:rPr>
              <w:t>家长</w:t>
            </w:r>
            <w:r>
              <w:rPr>
                <w:rFonts w:hint="eastAsia" w:eastAsia="仿宋_GB2312"/>
                <w:sz w:val="15"/>
                <w:szCs w:val="15"/>
              </w:rPr>
              <w:t>和</w:t>
            </w:r>
            <w:r>
              <w:rPr>
                <w:rFonts w:eastAsia="仿宋_GB2312"/>
                <w:sz w:val="15"/>
                <w:szCs w:val="15"/>
              </w:rPr>
              <w:t>学生的满意度</w:t>
            </w:r>
          </w:p>
        </w:tc>
        <w:tc>
          <w:tcPr>
            <w:tcW w:w="1859"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w:t>
            </w:r>
            <w:r>
              <w:rPr>
                <w:rFonts w:eastAsia="仿宋_GB2312"/>
                <w:color w:val="000000"/>
                <w:kern w:val="0"/>
                <w:szCs w:val="21"/>
              </w:rPr>
              <w:t>9%</w:t>
            </w:r>
          </w:p>
        </w:tc>
        <w:tc>
          <w:tcPr>
            <w:tcW w:w="70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w:t>
            </w:r>
            <w:r>
              <w:rPr>
                <w:rFonts w:eastAsia="仿宋_GB2312"/>
                <w:color w:val="000000"/>
                <w:kern w:val="0"/>
                <w:szCs w:val="21"/>
              </w:rPr>
              <w:t>0</w:t>
            </w:r>
          </w:p>
        </w:tc>
        <w:tc>
          <w:tcPr>
            <w:tcW w:w="99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9.5</w:t>
            </w:r>
          </w:p>
        </w:tc>
        <w:tc>
          <w:tcPr>
            <w:tcW w:w="902"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971"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106" w:type="dxa"/>
            <w:vMerge w:val="continue"/>
            <w:tcBorders>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290"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w:t>
            </w:r>
          </w:p>
        </w:tc>
        <w:tc>
          <w:tcPr>
            <w:tcW w:w="1859"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1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70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902"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7397"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color w:val="000000"/>
                <w:kern w:val="0"/>
                <w:szCs w:val="21"/>
              </w:rPr>
            </w:pPr>
            <w:r>
              <w:rPr>
                <w:rFonts w:eastAsia="仿宋_GB2312"/>
                <w:color w:val="000000"/>
                <w:kern w:val="0"/>
                <w:szCs w:val="21"/>
              </w:rPr>
              <w:t>总分</w:t>
            </w:r>
          </w:p>
        </w:tc>
        <w:tc>
          <w:tcPr>
            <w:tcW w:w="708"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100</w:t>
            </w:r>
          </w:p>
        </w:tc>
        <w:tc>
          <w:tcPr>
            <w:tcW w:w="99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w:t>
            </w:r>
            <w:r>
              <w:rPr>
                <w:rFonts w:eastAsia="仿宋_GB2312"/>
                <w:color w:val="000000"/>
                <w:kern w:val="0"/>
                <w:szCs w:val="21"/>
              </w:rPr>
              <w:t>9</w:t>
            </w:r>
            <w:r>
              <w:rPr>
                <w:rFonts w:hint="eastAsia" w:eastAsia="仿宋_GB2312"/>
                <w:color w:val="000000"/>
                <w:kern w:val="0"/>
                <w:szCs w:val="21"/>
              </w:rPr>
              <w:t>.5</w:t>
            </w:r>
          </w:p>
        </w:tc>
        <w:tc>
          <w:tcPr>
            <w:tcW w:w="902"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bl>
    <w:p>
      <w:pPr>
        <w:spacing w:beforeLines="50"/>
        <w:rPr>
          <w:rFonts w:eastAsia="仿宋_GB2312"/>
          <w:sz w:val="24"/>
        </w:rPr>
      </w:pPr>
      <w:r>
        <w:rPr>
          <w:rFonts w:eastAsia="仿宋_GB2312"/>
          <w:sz w:val="24"/>
        </w:rPr>
        <w:t>填表人：</w:t>
      </w:r>
      <w:r>
        <w:rPr>
          <w:rFonts w:hint="eastAsia" w:eastAsia="仿宋_GB2312"/>
          <w:sz w:val="24"/>
        </w:rPr>
        <w:t>李莉</w:t>
      </w:r>
      <w:r>
        <w:rPr>
          <w:rFonts w:eastAsia="仿宋_GB2312"/>
          <w:sz w:val="24"/>
        </w:rPr>
        <w:t>填报日期：</w:t>
      </w:r>
      <w:r>
        <w:rPr>
          <w:rFonts w:hint="eastAsia" w:eastAsia="仿宋_GB2312"/>
          <w:sz w:val="24"/>
        </w:rPr>
        <w:t>2</w:t>
      </w:r>
      <w:r>
        <w:rPr>
          <w:rFonts w:eastAsia="仿宋_GB2312"/>
          <w:sz w:val="24"/>
        </w:rPr>
        <w:t>02</w:t>
      </w:r>
      <w:r>
        <w:rPr>
          <w:rFonts w:hint="eastAsia" w:eastAsia="仿宋_GB2312"/>
          <w:sz w:val="24"/>
        </w:rPr>
        <w:t>2</w:t>
      </w:r>
      <w:r>
        <w:rPr>
          <w:rFonts w:eastAsia="仿宋_GB2312"/>
          <w:sz w:val="24"/>
        </w:rPr>
        <w:t>-</w:t>
      </w:r>
      <w:r>
        <w:rPr>
          <w:rFonts w:hint="eastAsia" w:eastAsia="仿宋_GB2312"/>
          <w:sz w:val="24"/>
        </w:rPr>
        <w:t>3</w:t>
      </w:r>
      <w:r>
        <w:rPr>
          <w:rFonts w:eastAsia="仿宋_GB2312"/>
          <w:sz w:val="24"/>
        </w:rPr>
        <w:t>-</w:t>
      </w:r>
      <w:r>
        <w:rPr>
          <w:rFonts w:hint="eastAsia" w:eastAsia="仿宋_GB2312"/>
          <w:sz w:val="24"/>
        </w:rPr>
        <w:t>2</w:t>
      </w:r>
      <w:r>
        <w:rPr>
          <w:rFonts w:eastAsia="仿宋_GB2312"/>
          <w:sz w:val="24"/>
        </w:rPr>
        <w:t>5联系电话：13762083969单位负责人签字：</w:t>
      </w:r>
    </w:p>
    <w:p>
      <w:pPr>
        <w:spacing w:line="540" w:lineRule="exact"/>
        <w:ind w:firstLine="660" w:firstLineChars="150"/>
        <w:jc w:val="center"/>
        <w:rPr>
          <w:rFonts w:ascii="宋体" w:hAnsi="宋体" w:cs="方正小标宋简体"/>
          <w:bCs/>
          <w:sz w:val="44"/>
          <w:szCs w:val="44"/>
        </w:rPr>
      </w:pPr>
    </w:p>
    <w:p>
      <w:pPr>
        <w:spacing w:line="540" w:lineRule="exact"/>
        <w:ind w:firstLine="660" w:firstLineChars="150"/>
        <w:jc w:val="center"/>
        <w:rPr>
          <w:rFonts w:ascii="宋体" w:hAnsi="宋体" w:cs="方正小标宋简体"/>
          <w:bCs/>
          <w:sz w:val="44"/>
          <w:szCs w:val="44"/>
        </w:rPr>
      </w:pPr>
      <w:r>
        <w:rPr>
          <w:rFonts w:hint="eastAsia" w:ascii="宋体" w:hAnsi="宋体" w:cs="方正小标宋简体"/>
          <w:bCs/>
          <w:sz w:val="44"/>
          <w:szCs w:val="44"/>
        </w:rPr>
        <w:t>20</w:t>
      </w:r>
      <w:r>
        <w:rPr>
          <w:rFonts w:ascii="宋体" w:hAnsi="宋体" w:cs="方正小标宋简体"/>
          <w:bCs/>
          <w:sz w:val="44"/>
          <w:szCs w:val="44"/>
        </w:rPr>
        <w:t>2</w:t>
      </w:r>
      <w:r>
        <w:rPr>
          <w:rFonts w:hint="eastAsia" w:ascii="宋体" w:hAnsi="宋体" w:cs="方正小标宋简体"/>
          <w:bCs/>
          <w:sz w:val="44"/>
          <w:szCs w:val="44"/>
        </w:rPr>
        <w:t>1年度建档立卡贫困户子女资助</w:t>
      </w:r>
    </w:p>
    <w:p>
      <w:pPr>
        <w:spacing w:line="540" w:lineRule="exact"/>
        <w:ind w:firstLine="660" w:firstLineChars="150"/>
        <w:jc w:val="center"/>
        <w:rPr>
          <w:rFonts w:ascii="宋体" w:hAnsi="宋体" w:cs="方正小标宋简体"/>
          <w:bCs/>
          <w:sz w:val="44"/>
          <w:szCs w:val="44"/>
        </w:rPr>
      </w:pPr>
      <w:r>
        <w:rPr>
          <w:rFonts w:ascii="宋体" w:hAnsi="宋体" w:cs="方正小标宋简体"/>
          <w:bCs/>
          <w:sz w:val="44"/>
          <w:szCs w:val="44"/>
        </w:rPr>
        <w:t>绩效自评报告</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一、预算支出概况</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（一）项目实施单位基本情况。</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学生资助管理中心负责协调</w:t>
      </w:r>
      <w:r>
        <w:rPr>
          <w:rFonts w:hint="eastAsia" w:ascii="仿宋" w:hAnsi="仿宋" w:eastAsia="仿宋" w:cs="宋体"/>
          <w:sz w:val="32"/>
          <w:szCs w:val="32"/>
          <w:lang w:val="en-US" w:eastAsia="zh-CN"/>
        </w:rPr>
        <w:t>，</w:t>
      </w:r>
      <w:r>
        <w:rPr>
          <w:rFonts w:hint="eastAsia" w:ascii="仿宋" w:hAnsi="仿宋" w:eastAsia="仿宋" w:cs="宋体"/>
          <w:sz w:val="32"/>
          <w:szCs w:val="32"/>
        </w:rPr>
        <w:t>帮助云溪范围内家庭经济困难的学生完成学业，主要任务为贫困幼儿入园补助发放、义务教育家庭经济困难学生生活补助发放、高中国家助学金发放、中职国家助学金发放。</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（二）预算资金基本情况包括预算资金基本性质、用途</w:t>
      </w:r>
      <w:r>
        <w:rPr>
          <w:rFonts w:hint="eastAsia" w:ascii="楷体" w:hAnsi="楷体" w:eastAsia="楷体" w:cs="宋体"/>
          <w:sz w:val="32"/>
          <w:szCs w:val="32"/>
          <w:lang w:eastAsia="zh-CN"/>
        </w:rPr>
        <w:t>、</w:t>
      </w:r>
      <w:bookmarkStart w:id="0" w:name="_GoBack"/>
      <w:bookmarkEnd w:id="0"/>
      <w:r>
        <w:rPr>
          <w:rFonts w:hint="eastAsia" w:ascii="楷体" w:hAnsi="楷体" w:eastAsia="楷体" w:cs="宋体"/>
          <w:sz w:val="32"/>
          <w:szCs w:val="32"/>
        </w:rPr>
        <w:t>主要内容、涉及范围等。</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20</w:t>
      </w:r>
      <w:r>
        <w:rPr>
          <w:rFonts w:ascii="仿宋" w:hAnsi="仿宋" w:eastAsia="仿宋" w:cs="宋体"/>
          <w:sz w:val="32"/>
          <w:szCs w:val="32"/>
        </w:rPr>
        <w:t>2</w:t>
      </w:r>
      <w:r>
        <w:rPr>
          <w:rFonts w:hint="eastAsia" w:ascii="仿宋" w:hAnsi="仿宋" w:eastAsia="仿宋" w:cs="宋体"/>
          <w:sz w:val="32"/>
          <w:szCs w:val="32"/>
        </w:rPr>
        <w:t>1</w:t>
      </w:r>
      <w:r>
        <w:rPr>
          <w:rFonts w:ascii="仿宋" w:hAnsi="仿宋" w:eastAsia="仿宋" w:cs="宋体"/>
          <w:sz w:val="32"/>
          <w:szCs w:val="32"/>
        </w:rPr>
        <w:t>年</w:t>
      </w:r>
      <w:r>
        <w:rPr>
          <w:rFonts w:hint="eastAsia" w:ascii="仿宋" w:hAnsi="仿宋" w:eastAsia="仿宋" w:cs="宋体"/>
          <w:sz w:val="32"/>
          <w:szCs w:val="32"/>
        </w:rPr>
        <w:t>补助资金根据《湖南省财政厅  湖南省教育厅关于下达20</w:t>
      </w:r>
      <w:r>
        <w:rPr>
          <w:rFonts w:ascii="仿宋" w:hAnsi="仿宋" w:eastAsia="仿宋" w:cs="宋体"/>
          <w:sz w:val="32"/>
          <w:szCs w:val="32"/>
        </w:rPr>
        <w:t>2</w:t>
      </w:r>
      <w:r>
        <w:rPr>
          <w:rFonts w:hint="eastAsia" w:ascii="仿宋" w:hAnsi="仿宋" w:eastAsia="仿宋" w:cs="宋体"/>
          <w:sz w:val="32"/>
          <w:szCs w:val="32"/>
        </w:rPr>
        <w:t>1年城乡义务教育经费保障机制中央和省级资金的通知》(湘财预【2020】336号、湘财预【2020】347号、湘财预【2020】379号和湘财预【2021】53\54号，岳云财预指【2021】等下达我区的困难补助</w:t>
      </w:r>
      <w:r>
        <w:rPr>
          <w:rFonts w:ascii="仿宋" w:hAnsi="仿宋" w:eastAsia="仿宋" w:cs="宋体"/>
          <w:sz w:val="32"/>
          <w:szCs w:val="32"/>
        </w:rPr>
        <w:t>经费</w:t>
      </w:r>
      <w:r>
        <w:rPr>
          <w:rFonts w:hint="eastAsia" w:ascii="仿宋" w:hAnsi="仿宋" w:eastAsia="仿宋" w:cs="宋体"/>
          <w:sz w:val="32"/>
          <w:szCs w:val="32"/>
        </w:rPr>
        <w:t>中央专项资金89.09万元，省级专项资金53.2373万元,本级财政预算资金110.5万元，合计252.8273万元。</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（三）预算资金绩效目标，包括总体目标和年度目标。</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预期目标：确保各项困难补助足额及时发放到位，及时解决贫困户家庭孩子就学问题，提高学生入学率，降低辍学率，不让一个贫困户家庭孩子因贫失学。</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二、预算资金使用及管理情况</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（一）预算资金及自筹资金的安排落实、总投入等情况。</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2021年困难补助资金</w:t>
      </w:r>
      <w:r>
        <w:rPr>
          <w:rFonts w:ascii="仿宋" w:hAnsi="仿宋" w:eastAsia="仿宋" w:cs="宋体"/>
          <w:sz w:val="32"/>
          <w:szCs w:val="32"/>
        </w:rPr>
        <w:t>中央</w:t>
      </w:r>
      <w:r>
        <w:rPr>
          <w:rFonts w:hint="eastAsia" w:ascii="仿宋" w:hAnsi="仿宋" w:eastAsia="仿宋" w:cs="宋体"/>
          <w:sz w:val="32"/>
          <w:szCs w:val="32"/>
        </w:rPr>
        <w:t>、</w:t>
      </w:r>
      <w:r>
        <w:rPr>
          <w:rFonts w:ascii="仿宋" w:hAnsi="仿宋" w:eastAsia="仿宋" w:cs="宋体"/>
          <w:sz w:val="32"/>
          <w:szCs w:val="32"/>
        </w:rPr>
        <w:t>省级及区级资金共</w:t>
      </w:r>
      <w:r>
        <w:rPr>
          <w:rFonts w:hint="eastAsia" w:ascii="仿宋" w:hAnsi="仿宋" w:eastAsia="仿宋" w:cs="宋体"/>
          <w:sz w:val="32"/>
          <w:szCs w:val="32"/>
        </w:rPr>
        <w:t>252.8273万元，由区财政局全额拨付到位。</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（二）预算资金实际使用情况。</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区教体局将收到的困难补助资金</w:t>
      </w:r>
      <w:r>
        <w:rPr>
          <w:rFonts w:ascii="仿宋" w:hAnsi="仿宋" w:eastAsia="仿宋" w:cs="宋体"/>
          <w:sz w:val="32"/>
          <w:szCs w:val="32"/>
        </w:rPr>
        <w:t>中央</w:t>
      </w:r>
      <w:r>
        <w:rPr>
          <w:rFonts w:hint="eastAsia" w:ascii="仿宋" w:hAnsi="仿宋" w:eastAsia="仿宋" w:cs="宋体"/>
          <w:sz w:val="32"/>
          <w:szCs w:val="32"/>
        </w:rPr>
        <w:t>、</w:t>
      </w:r>
      <w:r>
        <w:rPr>
          <w:rFonts w:ascii="仿宋" w:hAnsi="仿宋" w:eastAsia="仿宋" w:cs="宋体"/>
          <w:sz w:val="32"/>
          <w:szCs w:val="32"/>
        </w:rPr>
        <w:t>省级及区级资金共</w:t>
      </w:r>
      <w:r>
        <w:rPr>
          <w:rFonts w:hint="eastAsia" w:ascii="仿宋" w:hAnsi="仿宋" w:eastAsia="仿宋" w:cs="宋体"/>
          <w:sz w:val="32"/>
          <w:szCs w:val="32"/>
        </w:rPr>
        <w:t>252.8273万元，全部按上级文件要求通过财政“一卡通”及时足额发放给困难学生或其监护人。</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（三）预算资金管理情况分析，主要包括管理制度、办法的制订及执行情况。</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区教体局计财股负责管理项目资金的收付，区学生资助管理中心和各学校负责困难学生的摸底核实汇总上报。为了加强专项资金的管理，下发了《岳阳市云溪区教育体育局关于认真做好家庭经济困难学生生活补助发放工作的通知》。</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三、预算支出组织实施情况</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（一）资金使用管理情况</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家庭经济困难学生生活补助资金均按照政策要求，对建档立卡等贫困学生的各项资助资金，通过财政“一卡通”及时足额发放。为了加强专项资金的管理，下发了《岳阳市云溪区教育体育局关于认真做好家庭经济困难学生生活补助发放工作的通知》。</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（二）项目组织实施情况。</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确保各项困难补助足额及时发放到位，及时解决贫困户家庭孩子就学问题，提高学生入学率，降低辍学率，不让一个贫困户家庭孩子因贫失学。</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困难补助资金为公益项目，及时解决贫困户家庭孩子就学问题，不让一个贫困户家庭孩子因贫失学。</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四、预算支出绩效情况</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（一）预算支出决策情况。</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预算支出按国家相关政策，按上级相关资助标准发放。</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（二）预算支出过程情况。</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预算支出按学期拨款，期初开学摸底核实汇总上报，期中通过财政“一卡通”及时足额发放。</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（三）预算支出产出情况。</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此专项为公益项目，及时解决贫困户家庭孩子就学问题，不让一个贫困户家庭孩子因贫失学。</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（四）预算支出效益情况。</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为我区贫困户家庭孩子就学提供了保障经费，确保不让一个贫困户家庭孩子因贫失学。</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五、主要经验做法、存在的问题及原因分析</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主要做法：</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一是严格执行政策。家庭经济困难学生困难补助项目严格按政策精神通过财政“一卡通”及时足额发放。做到用后审计,杜绝了学校乱用,虚列虚支的现象。</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二是资金管理严格。项目资金有专门股室负责管理，严格按工作程序拨付，做到专款专用。</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存在问题及原因分析：</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由于市区的资金由省转市,再由市转文后拨区,造成各项资金严重滞后于省管县,资金不能及时拨付到校。</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六、有关建议</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市级以上专资金能够及时到位。</w:t>
      </w:r>
    </w:p>
    <w:p>
      <w:pPr>
        <w:adjustRightInd w:val="0"/>
        <w:snapToGrid w:val="0"/>
        <w:spacing w:line="500" w:lineRule="exact"/>
        <w:ind w:firstLine="640" w:firstLineChars="200"/>
        <w:rPr>
          <w:rFonts w:ascii="楷体" w:hAnsi="楷体" w:eastAsia="楷体" w:cs="宋体"/>
          <w:sz w:val="32"/>
          <w:szCs w:val="32"/>
        </w:rPr>
      </w:pPr>
      <w:r>
        <w:rPr>
          <w:rFonts w:hint="eastAsia" w:ascii="楷体" w:hAnsi="楷体" w:eastAsia="楷体" w:cs="宋体"/>
          <w:sz w:val="32"/>
          <w:szCs w:val="32"/>
        </w:rPr>
        <w:t>七、其他需要说明的问题</w:t>
      </w:r>
    </w:p>
    <w:p>
      <w:pPr>
        <w:adjustRightInd w:val="0"/>
        <w:snapToGrid w:val="0"/>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无</w:t>
      </w:r>
    </w:p>
    <w:p>
      <w:pPr>
        <w:rPr>
          <w:rFonts w:ascii="仿宋_GB2312" w:hAnsi="仿宋_GB2312" w:eastAsia="仿宋_GB2312" w:cs="仿宋_GB2312"/>
          <w:color w:val="000000"/>
          <w:sz w:val="24"/>
        </w:rPr>
      </w:pPr>
    </w:p>
    <w:p>
      <w:pPr>
        <w:jc w:val="center"/>
        <w:rPr>
          <w:rFonts w:ascii="仿宋" w:hAnsi="仿宋" w:eastAsia="仿宋" w:cs="宋体"/>
          <w:sz w:val="32"/>
          <w:szCs w:val="32"/>
        </w:rPr>
      </w:pPr>
      <w:r>
        <w:rPr>
          <w:rFonts w:ascii="仿宋_GB2312" w:hAnsi="仿宋_GB2312" w:eastAsia="仿宋_GB2312" w:cs="仿宋_GB2312"/>
          <w:color w:val="000000"/>
          <w:sz w:val="24"/>
        </w:rPr>
        <w:tab/>
      </w:r>
      <w:r>
        <w:rPr>
          <w:rFonts w:hint="eastAsia" w:ascii="仿宋_GB2312" w:hAnsi="仿宋_GB2312" w:eastAsia="仿宋_GB2312" w:cs="仿宋_GB2312"/>
          <w:color w:val="000000"/>
          <w:sz w:val="24"/>
        </w:rPr>
        <w:t xml:space="preserve">                               </w:t>
      </w:r>
      <w:r>
        <w:rPr>
          <w:rFonts w:hint="eastAsia" w:ascii="仿宋" w:hAnsi="仿宋" w:eastAsia="仿宋" w:cs="宋体"/>
          <w:sz w:val="32"/>
          <w:szCs w:val="32"/>
        </w:rPr>
        <w:t>云溪区教育体育局</w:t>
      </w:r>
    </w:p>
    <w:p>
      <w:pPr>
        <w:jc w:val="center"/>
        <w:rPr>
          <w:rFonts w:ascii="仿宋" w:hAnsi="仿宋" w:eastAsia="仿宋" w:cs="宋体"/>
          <w:sz w:val="32"/>
          <w:szCs w:val="32"/>
        </w:rPr>
      </w:pPr>
      <w:r>
        <w:rPr>
          <w:rFonts w:hint="eastAsia" w:ascii="仿宋" w:hAnsi="仿宋" w:eastAsia="仿宋" w:cs="宋体"/>
          <w:sz w:val="32"/>
          <w:szCs w:val="32"/>
        </w:rPr>
        <w:t xml:space="preserve">                          2</w:t>
      </w:r>
      <w:r>
        <w:rPr>
          <w:rFonts w:ascii="仿宋" w:hAnsi="仿宋" w:eastAsia="仿宋" w:cs="宋体"/>
          <w:sz w:val="32"/>
          <w:szCs w:val="32"/>
        </w:rPr>
        <w:t>02</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5</w:t>
      </w:r>
    </w:p>
    <w:sectPr>
      <w:pgSz w:w="11906" w:h="16838"/>
      <w:pgMar w:top="1247" w:right="1077"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6772"/>
    <w:rsid w:val="00046D22"/>
    <w:rsid w:val="00057673"/>
    <w:rsid w:val="00075C15"/>
    <w:rsid w:val="00077998"/>
    <w:rsid w:val="000B63BF"/>
    <w:rsid w:val="000D22A7"/>
    <w:rsid w:val="000E0C9D"/>
    <w:rsid w:val="000F1E51"/>
    <w:rsid w:val="0012675C"/>
    <w:rsid w:val="001C5096"/>
    <w:rsid w:val="001D043E"/>
    <w:rsid w:val="001F01DD"/>
    <w:rsid w:val="001F3451"/>
    <w:rsid w:val="002078D1"/>
    <w:rsid w:val="00257487"/>
    <w:rsid w:val="00275E9D"/>
    <w:rsid w:val="002775A5"/>
    <w:rsid w:val="00297130"/>
    <w:rsid w:val="002C0AD3"/>
    <w:rsid w:val="002E5CCD"/>
    <w:rsid w:val="002F7BC2"/>
    <w:rsid w:val="00362873"/>
    <w:rsid w:val="00376FCD"/>
    <w:rsid w:val="003A6C89"/>
    <w:rsid w:val="003B0735"/>
    <w:rsid w:val="003E0072"/>
    <w:rsid w:val="00431FAA"/>
    <w:rsid w:val="004525DC"/>
    <w:rsid w:val="004719BD"/>
    <w:rsid w:val="004A6FD5"/>
    <w:rsid w:val="004D6073"/>
    <w:rsid w:val="005036F2"/>
    <w:rsid w:val="005059A2"/>
    <w:rsid w:val="00515231"/>
    <w:rsid w:val="00536142"/>
    <w:rsid w:val="00543091"/>
    <w:rsid w:val="00560886"/>
    <w:rsid w:val="00563A21"/>
    <w:rsid w:val="005B62A5"/>
    <w:rsid w:val="005C1091"/>
    <w:rsid w:val="005D7FEA"/>
    <w:rsid w:val="005F676D"/>
    <w:rsid w:val="00611BE6"/>
    <w:rsid w:val="00632779"/>
    <w:rsid w:val="00652C63"/>
    <w:rsid w:val="00681BDA"/>
    <w:rsid w:val="006B09C2"/>
    <w:rsid w:val="00702C63"/>
    <w:rsid w:val="007050AC"/>
    <w:rsid w:val="007309AD"/>
    <w:rsid w:val="007457D1"/>
    <w:rsid w:val="00770963"/>
    <w:rsid w:val="007806EA"/>
    <w:rsid w:val="007A7AD1"/>
    <w:rsid w:val="007B4DDD"/>
    <w:rsid w:val="007B6913"/>
    <w:rsid w:val="007E6D9D"/>
    <w:rsid w:val="00817973"/>
    <w:rsid w:val="00821933"/>
    <w:rsid w:val="00825CFF"/>
    <w:rsid w:val="008A67E1"/>
    <w:rsid w:val="009033DE"/>
    <w:rsid w:val="009B5ED9"/>
    <w:rsid w:val="009E007D"/>
    <w:rsid w:val="00A02CF1"/>
    <w:rsid w:val="00A52D9C"/>
    <w:rsid w:val="00A77F84"/>
    <w:rsid w:val="00A97C2B"/>
    <w:rsid w:val="00AB1CA7"/>
    <w:rsid w:val="00AD3158"/>
    <w:rsid w:val="00AD78AA"/>
    <w:rsid w:val="00B14A15"/>
    <w:rsid w:val="00B35E78"/>
    <w:rsid w:val="00B8309E"/>
    <w:rsid w:val="00BB53ED"/>
    <w:rsid w:val="00BE2E7B"/>
    <w:rsid w:val="00C0700A"/>
    <w:rsid w:val="00C12521"/>
    <w:rsid w:val="00C24212"/>
    <w:rsid w:val="00C745E9"/>
    <w:rsid w:val="00CA35F9"/>
    <w:rsid w:val="00D14429"/>
    <w:rsid w:val="00D520E4"/>
    <w:rsid w:val="00D77FF3"/>
    <w:rsid w:val="00DB0B02"/>
    <w:rsid w:val="00DD46EA"/>
    <w:rsid w:val="00DE09E7"/>
    <w:rsid w:val="00E16307"/>
    <w:rsid w:val="00E57033"/>
    <w:rsid w:val="00E67A39"/>
    <w:rsid w:val="00E73B76"/>
    <w:rsid w:val="00E77EB9"/>
    <w:rsid w:val="00E86772"/>
    <w:rsid w:val="00EB6A39"/>
    <w:rsid w:val="00EE11BB"/>
    <w:rsid w:val="00F222EA"/>
    <w:rsid w:val="00F3327B"/>
    <w:rsid w:val="00F45902"/>
    <w:rsid w:val="00F7151D"/>
    <w:rsid w:val="00FA4457"/>
    <w:rsid w:val="110C2B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Calibri" w:hAnsi="Calibri" w:eastAsia="宋体" w:cs="Times New Roman"/>
      <w:sz w:val="18"/>
      <w:szCs w:val="18"/>
    </w:rPr>
  </w:style>
  <w:style w:type="character" w:customStyle="1" w:styleId="8">
    <w:name w:val="页脚 Char"/>
    <w:basedOn w:val="6"/>
    <w:link w:val="3"/>
    <w:uiPriority w:val="99"/>
    <w:rPr>
      <w:rFonts w:ascii="Calibri" w:hAnsi="Calibri" w:eastAsia="宋体" w:cs="Times New Roman"/>
      <w:sz w:val="18"/>
      <w:szCs w:val="18"/>
    </w:rPr>
  </w:style>
  <w:style w:type="character" w:customStyle="1" w:styleId="9">
    <w:name w:val="日期 Char"/>
    <w:basedOn w:val="6"/>
    <w:link w:val="2"/>
    <w:semiHidden/>
    <w:uiPriority w:val="99"/>
    <w:rPr>
      <w:rFonts w:ascii="Calibri" w:hAnsi="Calibri" w:eastAsia="宋体" w:cs="Times New Roman"/>
      <w:szCs w:val="24"/>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1986</Words>
  <Characters>2236</Characters>
  <Lines>19</Lines>
  <Paragraphs>5</Paragraphs>
  <TotalTime>809</TotalTime>
  <ScaleCrop>false</ScaleCrop>
  <LinksUpToDate>false</LinksUpToDate>
  <CharactersWithSpaces>2387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2021-07-14T00:43:00Z</dcterms:created>
  <dc:creator>Administrator</dc:creator>
  <cp:lastModifiedBy>子</cp:lastModifiedBy>
  <cp:lastPrinted>2021-07-21T07:31:00Z</cp:lastPrinted>
  <dcterms:modified xsi:type="dcterms:W3CDTF">2022-04-11T02:12:44Z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8B4B6C171B594C96AA8B94F05631AFE9</vt:lpwstr>
  </property>
</Properties>
</file>