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bCs/>
          <w:sz w:val="44"/>
          <w:szCs w:val="44"/>
        </w:rPr>
        <w:t>岳阳市云溪区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>2021</w:t>
      </w:r>
      <w:r>
        <w:rPr>
          <w:rFonts w:hint="eastAsia" w:ascii="方正小标宋简体" w:eastAsia="方正小标宋简体"/>
          <w:bCs/>
          <w:sz w:val="44"/>
          <w:szCs w:val="44"/>
        </w:rPr>
        <w:t>年度部门整体支出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绩效评价自评报告</w:t>
      </w:r>
    </w:p>
    <w:p>
      <w:pPr>
        <w:spacing w:line="600" w:lineRule="exact"/>
        <w:rPr>
          <w:rFonts w:hint="eastAsia" w:eastAsia="仿宋_GB2312"/>
          <w:b/>
          <w:sz w:val="32"/>
        </w:rPr>
      </w:pPr>
    </w:p>
    <w:p>
      <w:pPr>
        <w:spacing w:line="600" w:lineRule="exact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 xml:space="preserve"> </w:t>
      </w:r>
    </w:p>
    <w:p>
      <w:pPr>
        <w:spacing w:line="600" w:lineRule="exact"/>
        <w:rPr>
          <w:rFonts w:hint="eastAsia" w:eastAsia="仿宋_GB2312"/>
          <w:b/>
          <w:sz w:val="32"/>
        </w:rPr>
      </w:pPr>
    </w:p>
    <w:p>
      <w:pPr>
        <w:spacing w:line="600" w:lineRule="exact"/>
        <w:rPr>
          <w:rFonts w:hint="eastAsia" w:eastAsia="仿宋_GB2312"/>
          <w:b/>
          <w:sz w:val="32"/>
        </w:rPr>
      </w:pPr>
    </w:p>
    <w:p>
      <w:pPr>
        <w:spacing w:line="800" w:lineRule="exact"/>
        <w:ind w:firstLine="476" w:firstLineChars="15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部门（单位）名称：</w:t>
      </w:r>
      <w:r>
        <w:rPr>
          <w:rFonts w:hint="eastAsia" w:eastAsia="仿宋_GB2312"/>
          <w:sz w:val="32"/>
          <w:szCs w:val="32"/>
          <w:u w:val="single"/>
        </w:rPr>
        <w:t xml:space="preserve"> 岳阳市云溪区库区移民服务中心                               </w:t>
      </w:r>
    </w:p>
    <w:p>
      <w:pPr>
        <w:spacing w:line="800" w:lineRule="exact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预算编码：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066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</w:t>
      </w:r>
    </w:p>
    <w:p>
      <w:pPr>
        <w:spacing w:line="800" w:lineRule="exact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line="800" w:lineRule="exact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60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60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60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60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60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60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60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 xml:space="preserve"> 年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13</w:t>
      </w:r>
      <w:r>
        <w:rPr>
          <w:rFonts w:hint="eastAsia" w:eastAsia="仿宋_GB2312"/>
          <w:sz w:val="32"/>
        </w:rPr>
        <w:t>日</w:t>
      </w:r>
    </w:p>
    <w:p>
      <w:pPr>
        <w:autoSpaceDN w:val="0"/>
        <w:spacing w:line="600" w:lineRule="exact"/>
        <w:jc w:val="center"/>
        <w:textAlignment w:val="center"/>
        <w:rPr>
          <w:rFonts w:hint="eastAsia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14" w:right="1588" w:bottom="1701" w:left="1588" w:header="851" w:footer="1361" w:gutter="0"/>
          <w:pgNumType w:start="1"/>
          <w:cols w:space="720" w:num="1"/>
          <w:titlePg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岳阳市云溪区财政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3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46"/>
        <w:gridCol w:w="1080"/>
        <w:gridCol w:w="210"/>
        <w:gridCol w:w="1145"/>
        <w:gridCol w:w="272"/>
        <w:gridCol w:w="936"/>
        <w:gridCol w:w="1351"/>
        <w:gridCol w:w="226"/>
        <w:gridCol w:w="298"/>
        <w:gridCol w:w="157"/>
        <w:gridCol w:w="1080"/>
        <w:gridCol w:w="265"/>
        <w:gridCol w:w="139"/>
        <w:gridCol w:w="316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689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甘红慧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15273097051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689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负责云溪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区大中型水库移民后期扶持规划、各类移民资金年度计划的编制和资金计划上报;全区移民产业开发、移民培训就业;项目实施管理、验收;负责组织移民后期扶持政策实施情况的监测评估、移民资金使用情况的绩效评价及监督检查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按时发放移民直补资金，确保直补资金足额打卡发放到移民手中，维护移民的合法权益。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做好移民年度项目计划编制工作，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严格规范项目申报、资金拨付程序，把好项目资金使用安全关。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任务3：积极配合区中心工作，服务乡镇重点项目建设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59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年度部门（单位）总体运行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情况及取得的成绩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全年争取了省市移民项目资金634.1万元。</w:t>
            </w:r>
          </w:p>
          <w:p>
            <w:pPr>
              <w:numPr>
                <w:ilvl w:val="0"/>
                <w:numId w:val="1"/>
              </w:num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按时足额打卡发放了移民直补资金。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3.积极组织移民项目编报、实施与验收。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138.91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10.36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128.55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138.91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10.36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128.55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6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2032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138.91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138.91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97.83</w:t>
            </w:r>
          </w:p>
        </w:tc>
        <w:tc>
          <w:tcPr>
            <w:tcW w:w="2032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41.08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138.91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138.91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97.83</w:t>
            </w:r>
          </w:p>
        </w:tc>
        <w:tc>
          <w:tcPr>
            <w:tcW w:w="2032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41.08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32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32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2032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32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32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32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32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51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56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516" w:type="dxa"/>
            <w:gridSpan w:val="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56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516" w:type="dxa"/>
            <w:gridSpan w:val="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16" w:type="dxa"/>
            <w:gridSpan w:val="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16" w:type="dxa"/>
            <w:gridSpan w:val="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902" w:type="dxa"/>
            <w:gridSpan w:val="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457" w:type="dxa"/>
            <w:gridSpan w:val="9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1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02" w:type="dxa"/>
            <w:gridSpan w:val="7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及时发放移民直补资金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合理编制年度移民项目计划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积极组织移民项目的实施与验收</w:t>
            </w:r>
          </w:p>
        </w:tc>
        <w:tc>
          <w:tcPr>
            <w:tcW w:w="4457" w:type="dxa"/>
            <w:gridSpan w:val="9"/>
            <w:noWrap w:val="0"/>
            <w:vAlign w:val="top"/>
          </w:tcPr>
          <w:p>
            <w:pPr>
              <w:numPr>
                <w:ilvl w:val="0"/>
                <w:numId w:val="2"/>
              </w:numPr>
              <w:autoSpaceDN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移民直补发放按时完成</w:t>
            </w:r>
          </w:p>
          <w:p>
            <w:pPr>
              <w:numPr>
                <w:ilvl w:val="0"/>
                <w:numId w:val="2"/>
              </w:numPr>
              <w:autoSpaceDN w:val="0"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年度项目计划编制合理合规</w:t>
            </w:r>
          </w:p>
          <w:p>
            <w:pPr>
              <w:numPr>
                <w:ilvl w:val="0"/>
                <w:numId w:val="2"/>
              </w:numPr>
              <w:autoSpaceDN w:val="0"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对全年的移民项目开展了竣工验收，并取得了较好的效果。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三公经费控制率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项目验收合格率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重点支出安排率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财政供养人员控制率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指标2：“三公经费”变动率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≦0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预算调整率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截至当年底，资金完成比例(%)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截至当年底，项目按时验收比例(%)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支付进度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指标1：全年财政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138.91万元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指标1：确保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全年移民资金直补及发放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9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指标1：促进区域经济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发展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社会公众服务对象满意度达到90%以上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689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丁小香</w:t>
            </w:r>
          </w:p>
        </w:tc>
        <w:tc>
          <w:tcPr>
            <w:tcW w:w="3689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副主任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区库区移民服务中心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丁小香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青</w:t>
            </w:r>
          </w:p>
        </w:tc>
        <w:tc>
          <w:tcPr>
            <w:tcW w:w="3689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办公室主任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区库区移民服务中心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甘红慧</w:t>
            </w:r>
          </w:p>
        </w:tc>
        <w:tc>
          <w:tcPr>
            <w:tcW w:w="3689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计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区库区移民服务中心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甘红慧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89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0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丁小香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7月14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90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李学军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同意上报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部门（单位）负责人（签章）：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7月14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60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财政部门归口业务股室意见：</w:t>
            </w:r>
          </w:p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财政部门归口业务股室负责人（签章）：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spacing w:line="540" w:lineRule="exact"/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甘红慧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15273097051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0769B"/>
    <w:multiLevelType w:val="singleLevel"/>
    <w:tmpl w:val="857076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4DE00D"/>
    <w:multiLevelType w:val="singleLevel"/>
    <w:tmpl w:val="464DE0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mY5MTc5ZDQzNWFkZTAyZjg4NWQwNDUzZGI3MmQifQ=="/>
  </w:docVars>
  <w:rsids>
    <w:rsidRoot w:val="68D85B68"/>
    <w:rsid w:val="57BB508B"/>
    <w:rsid w:val="68D85B68"/>
    <w:rsid w:val="7E45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1790</Words>
  <Characters>1913</Characters>
  <Lines>0</Lines>
  <Paragraphs>0</Paragraphs>
  <TotalTime>0</TotalTime>
  <ScaleCrop>false</ScaleCrop>
  <LinksUpToDate>false</LinksUpToDate>
  <CharactersWithSpaces>2314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2022-07-12T02:53:00Z</dcterms:created>
  <dc:creator>恰好</dc:creator>
  <cp:lastModifiedBy>恰好</cp:lastModifiedBy>
  <cp:lastPrinted>2022-07-14T00:49:43Z</cp:lastPrinted>
  <dcterms:modified xsi:type="dcterms:W3CDTF">2022-07-15T00:51:53Z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FE32A12ACBB24030950C9A350139FA5C</vt:lpwstr>
  </property>
</Properties>
</file>