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岳阳市云溪区</w:t>
      </w:r>
      <w:r>
        <w:rPr>
          <w:rFonts w:hint="eastAsia" w:eastAsia="方正小标宋简体"/>
          <w:bCs/>
          <w:sz w:val="44"/>
          <w:szCs w:val="44"/>
          <w:lang w:eastAsia="zh-CN"/>
        </w:rPr>
        <w:t>预算</w:t>
      </w:r>
      <w:r>
        <w:rPr>
          <w:rFonts w:hint="eastAsia" w:eastAsia="方正小标宋简体"/>
          <w:bCs/>
          <w:sz w:val="44"/>
          <w:szCs w:val="44"/>
        </w:rPr>
        <w:t>支出绩效评价自评报告</w:t>
      </w: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</w:rPr>
        <w:sym w:font="Wingdings 2" w:char="00A3"/>
      </w:r>
      <w:r>
        <w:rPr>
          <w:rFonts w:hint="eastAsia" w:eastAsia="仿宋_GB2312"/>
          <w:sz w:val="32"/>
          <w:szCs w:val="32"/>
        </w:rPr>
        <w:t xml:space="preserve">   项目完成结果评价</w:t>
      </w:r>
      <w:r>
        <w:rPr>
          <w:rFonts w:hint="eastAsia" w:eastAsia="仿宋_GB2312"/>
          <w:sz w:val="32"/>
          <w:szCs w:val="32"/>
        </w:rPr>
        <w:sym w:font="Wingdings 2" w:char="0052"/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</w:t>
      </w:r>
      <w:r>
        <w:rPr>
          <w:rFonts w:hint="eastAsia" w:eastAsia="仿宋_GB2312"/>
          <w:sz w:val="32"/>
          <w:u w:val="single"/>
          <w:lang w:val="en-US" w:eastAsia="zh-CN"/>
        </w:rPr>
        <w:t>农村人居环境整治工作</w:t>
      </w:r>
      <w:r>
        <w:rPr>
          <w:rFonts w:hint="eastAsia" w:eastAsia="仿宋_GB2312"/>
          <w:sz w:val="32"/>
          <w:u w:val="single"/>
        </w:rPr>
        <w:t xml:space="preserve">         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 </w:t>
      </w:r>
      <w:r>
        <w:rPr>
          <w:rFonts w:hint="eastAsia" w:eastAsia="仿宋_GB2312"/>
          <w:sz w:val="32"/>
          <w:u w:val="single"/>
          <w:lang w:val="en-US" w:eastAsia="zh-CN"/>
        </w:rPr>
        <w:t>各镇（街道）、村（社区）</w:t>
      </w:r>
      <w:r>
        <w:rPr>
          <w:rFonts w:hint="eastAsia" w:eastAsia="仿宋_GB2312"/>
          <w:sz w:val="32"/>
          <w:u w:val="single"/>
        </w:rPr>
        <w:t xml:space="preserve">      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农业农村局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u w:val="single"/>
        </w:rPr>
        <w:t xml:space="preserve">        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</w:t>
      </w:r>
      <w:r>
        <w:rPr>
          <w:rFonts w:hint="eastAsia" w:eastAsia="仿宋_GB2312"/>
          <w:sz w:val="32"/>
          <w:lang w:val="en-US" w:eastAsia="zh-CN"/>
        </w:rPr>
        <w:t>2022</w:t>
      </w:r>
      <w:r>
        <w:rPr>
          <w:rFonts w:hint="eastAsia" w:eastAsia="仿宋_GB2312"/>
          <w:sz w:val="32"/>
        </w:rPr>
        <w:t xml:space="preserve">  年 </w:t>
      </w:r>
      <w:r>
        <w:rPr>
          <w:rFonts w:hint="eastAsia" w:eastAsia="仿宋_GB2312"/>
          <w:sz w:val="32"/>
          <w:lang w:val="en-US" w:eastAsia="zh-CN"/>
        </w:rPr>
        <w:t>7</w:t>
      </w:r>
      <w:r>
        <w:rPr>
          <w:rFonts w:hint="eastAsia" w:eastAsia="仿宋_GB2312"/>
          <w:sz w:val="32"/>
        </w:rPr>
        <w:t xml:space="preserve">  月 </w:t>
      </w:r>
      <w:r>
        <w:rPr>
          <w:rFonts w:hint="eastAsia" w:eastAsia="仿宋_GB2312"/>
          <w:sz w:val="32"/>
          <w:lang w:val="en-US" w:eastAsia="zh-CN"/>
        </w:rPr>
        <w:t>5</w:t>
      </w:r>
      <w:bookmarkStart w:id="0" w:name="_GoBack"/>
      <w:bookmarkEnd w:id="0"/>
      <w:r>
        <w:rPr>
          <w:rFonts w:hint="eastAsia" w:eastAsia="仿宋_GB2312"/>
          <w:sz w:val="32"/>
        </w:rPr>
        <w:t xml:space="preserve">  日</w:t>
      </w: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岳阳市云溪区财政局（制）</w:t>
      </w:r>
    </w:p>
    <w:tbl>
      <w:tblPr>
        <w:tblStyle w:val="2"/>
        <w:tblW w:w="99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61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农村人居环境整治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6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农业农村局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各镇（街道）、村（社区）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205.5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205.5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205.5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205.5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6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b w:val="0"/>
                <w:bCs/>
                <w:szCs w:val="21"/>
                <w:lang w:val="en-US" w:eastAsia="zh-CN"/>
              </w:rPr>
              <w:t>完成农村人居环境整治三年行动任务，我区农村环境整治工作水平位居省市前列。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b w:val="0"/>
                <w:bCs/>
                <w:szCs w:val="21"/>
                <w:lang w:val="en-US" w:eastAsia="zh-CN"/>
              </w:rPr>
              <w:t>圆满完成农村人居环境整治三年行动任务，获得全省农村人居环境整治工作先进。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任务完成率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合格指数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是否按时完成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是否按绩效目标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直接间接效益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社会综合效益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对环境积极影响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积极的持续影响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群众满意度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95%以上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="120" w:beforeLines="50"/>
        <w:rPr>
          <w:rFonts w:hint="eastAsia" w:eastAsia="仿宋_GB2312"/>
          <w:sz w:val="32"/>
        </w:rPr>
      </w:pPr>
      <w:r>
        <w:rPr>
          <w:rFonts w:eastAsia="仿宋_GB2312"/>
          <w:sz w:val="24"/>
        </w:rPr>
        <w:t>填表人：         填报日期：           联系电话：       单位负责人签字：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98" w:hRule="atLeast"/>
          <w:jc w:val="center"/>
        </w:trPr>
        <w:tc>
          <w:tcPr>
            <w:tcW w:w="9369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</w:t>
            </w:r>
          </w:p>
          <w:p>
            <w:pPr>
              <w:spacing w:line="440" w:lineRule="exact"/>
              <w:ind w:firstLine="640" w:firstLineChars="200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40" w:lineRule="exact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（一）项目基本概况</w:t>
            </w:r>
          </w:p>
          <w:p>
            <w:pPr>
              <w:spacing w:line="440" w:lineRule="exact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根据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中央、省、市有关农村人居环境整治工作要求，区委区政府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成立了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农村人居环境整治工作指挥部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，明确了相关部门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和乡镇、村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的工作职责和进度，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我区农村环境整治工作在市六区组年终考核排名第一，成功创建省级美丽乡村云溪街道双花村，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成功打造了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云溪街道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青石村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松杨湖街道滨湖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市级美丽乡村建设示范村，云溪街道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团结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月形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长岭街道臣山村易家组为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市级美丽屋场。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项目资金使用及管理情况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本项目资金主要作为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对农村环境整治工作开展需要的经费的以奖代投</w:t>
            </w:r>
            <w:r>
              <w:rPr>
                <w:rFonts w:hint="eastAsia" w:eastAsia="仿宋_GB2312"/>
                <w:sz w:val="30"/>
                <w:szCs w:val="30"/>
              </w:rPr>
              <w:t>，进一步完善村镇垃圾收集清运体系建设，要求整治的村庄聘请保洁员，配备车辆，定期收运各居民点的垃圾，建立村庄保洁制度，推行“户分类、村收集、镇运转、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区</w:t>
            </w:r>
            <w:r>
              <w:rPr>
                <w:rFonts w:hint="eastAsia" w:eastAsia="仿宋_GB2312"/>
                <w:sz w:val="30"/>
                <w:szCs w:val="30"/>
              </w:rPr>
              <w:t>处理”模式。考核指标为通过对垃圾的收集、转运改善农村脏、乱、臭现象，切实改善农村环境整洁情况。制定了资金使用方案，严格按照审批程序，经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区</w:t>
            </w:r>
            <w:r>
              <w:rPr>
                <w:rFonts w:hint="eastAsia" w:eastAsia="仿宋_GB2312"/>
                <w:sz w:val="30"/>
                <w:szCs w:val="30"/>
              </w:rPr>
              <w:t>财政统一监管资金使用规范,不存在截流、挤占、挪用项目资金情况; 资金管理、 费用支出制度健全。财务执行情况好，项目专项资金管理好。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600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项目组织实施情况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firstLine="600" w:firstLineChars="200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</w:rPr>
              <w:t>加大宣传力度。创新宣传形式，广泛宣传发动，使美丽乡村建设家喻户晓，深入人心，把美丽乡村建设中涌现的典型在云溪区政府门户网站、手机报、电视台等新闻媒体上广泛宣传报道，以浓厚的氛围提高群众的认同感、社会的参与度和影响力，不断提高群众的积极性，激发群众和社会各界共同参与到这项工作中来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加强组织领导。区委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区政府</w:t>
            </w:r>
            <w:r>
              <w:rPr>
                <w:rFonts w:hint="eastAsia" w:eastAsia="仿宋_GB2312"/>
                <w:sz w:val="30"/>
                <w:szCs w:val="30"/>
              </w:rPr>
              <w:t>成立岳阳市云溪区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农村人居环境整治工作指挥部</w:t>
            </w:r>
            <w:r>
              <w:rPr>
                <w:rFonts w:hint="eastAsia" w:eastAsia="仿宋_GB2312"/>
                <w:sz w:val="30"/>
                <w:szCs w:val="30"/>
              </w:rPr>
              <w:t>。各镇要制定相应的工作方案，成立专门工作班子，落实相应人员、制度、职责、经费，由党（工）委书记为第一责任人，实行“党政成员包村、镇村干部包组、村组干部和党员联户”工作机制。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3、</w:t>
            </w:r>
            <w:r>
              <w:rPr>
                <w:rFonts w:hint="eastAsia" w:eastAsia="仿宋_GB2312"/>
                <w:sz w:val="30"/>
                <w:szCs w:val="30"/>
              </w:rPr>
              <w:t>强化自治管理。各镇要完善“户投、村集、镇运、区处”的垃圾清运模式，建立镇、村、组三级自查考核机制，继续发挥各村（社区）、组自治管理组织作用，引导村民落实房前屋后“三包”（包卫生、包整洁、包绿化），搞好垃圾分类投放，减少垃圾出户率，并对焚烧垃圾的保洁员和农户进行科学劝导，禁止各地焚烧垃圾，污染农村空气环境；按照每人每月2元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的标准</w:t>
            </w:r>
            <w:r>
              <w:rPr>
                <w:rFonts w:hint="eastAsia" w:eastAsia="仿宋_GB2312"/>
                <w:sz w:val="30"/>
                <w:szCs w:val="30"/>
              </w:rPr>
              <w:t>，向群众收取环境整治保洁服务费用，由村（居）民自治组织进行规范管理和使用。镇村自查考核和自治管理组织运转情况，将作为镇村农村环境整治工作考核的重要内容。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4、</w:t>
            </w:r>
            <w:r>
              <w:rPr>
                <w:rFonts w:hint="eastAsia" w:eastAsia="仿宋_GB2312"/>
                <w:sz w:val="30"/>
                <w:szCs w:val="30"/>
              </w:rPr>
              <w:t>严格督查考核。区委、区政府将农村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人居</w:t>
            </w:r>
            <w:r>
              <w:rPr>
                <w:rFonts w:hint="eastAsia" w:eastAsia="仿宋_GB2312"/>
                <w:sz w:val="30"/>
                <w:szCs w:val="30"/>
              </w:rPr>
              <w:t>环境整治纳入区全面小康综合绩效考核范畴。各镇村要逐项对照考评细则内容，严抓工作落实，区委、区政府将对工作进展情况进行暗访和明查，实行一月一通报，一季一讲评，年终总结表彰。</w:t>
            </w:r>
          </w:p>
          <w:p>
            <w:pPr>
              <w:spacing w:line="44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（四）综合评价情况及评价结论</w:t>
            </w:r>
          </w:p>
          <w:p>
            <w:pPr>
              <w:spacing w:line="44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我区农村人居环境整治工作</w:t>
            </w:r>
            <w:r>
              <w:rPr>
                <w:rFonts w:hint="eastAsia" w:eastAsia="仿宋_GB2312"/>
                <w:sz w:val="30"/>
                <w:szCs w:val="30"/>
              </w:rPr>
              <w:t>进展情况良好，专项资金专款专用并设立专门管理制度，运作正常，环境效益、经济效益显著；该项目自开展以来，群众很满意。对改善环境质量、实现资源综合利用、保障群众环境安全方面发挥了重要的作用，为我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区</w:t>
            </w:r>
            <w:r>
              <w:rPr>
                <w:rFonts w:hint="eastAsia" w:eastAsia="仿宋_GB2312"/>
                <w:sz w:val="30"/>
                <w:szCs w:val="30"/>
              </w:rPr>
              <w:t>经济发展和生态保护发挥了重要作用。</w:t>
            </w:r>
          </w:p>
          <w:p>
            <w:pPr>
              <w:spacing w:line="44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）</w:t>
            </w:r>
            <w:r>
              <w:rPr>
                <w:rFonts w:hint="eastAsia" w:eastAsia="仿宋_GB2312"/>
                <w:sz w:val="30"/>
                <w:szCs w:val="30"/>
              </w:rPr>
              <w:t>存在问题和建议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目前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区49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个村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农村环境整治资金全靠区财政投入，上级部门资金支持太少，区本级财政压力大，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农村基础设施建设薄弱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村级集体经济不强，工作难以取得突破性进展。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专项资金分配到各镇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往往金额较少，无法满足工作需要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建议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向上积极争取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textAlignment w:val="auto"/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spacing w:before="187" w:beforeLines="60" w:after="187" w:afterLines="60" w:line="56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100</w:t>
            </w:r>
          </w:p>
        </w:tc>
      </w:tr>
    </w:tbl>
    <w:p>
      <w:pPr>
        <w:adjustRightInd w:val="0"/>
        <w:snapToGrid w:val="0"/>
        <w:spacing w:before="156" w:beforeLines="50" w:line="200" w:lineRule="exact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="156" w:beforeLines="5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="156" w:beforeLines="50"/>
        <w:ind w:firstLine="630" w:firstLineChars="300"/>
        <w:contextualSpacing/>
      </w:pPr>
      <w:r>
        <w:rPr>
          <w:rFonts w:hint="eastAsia" w:ascii="仿宋_GB2312" w:eastAsia="仿宋_GB2312"/>
        </w:rPr>
        <w:t>善、量化、细化个性指标，形成本项目的指标体系。</w:t>
      </w:r>
    </w:p>
    <w:p/>
    <w:sectPr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4B1FA8"/>
    <w:multiLevelType w:val="singleLevel"/>
    <w:tmpl w:val="C34B1FA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28C73F5"/>
    <w:multiLevelType w:val="singleLevel"/>
    <w:tmpl w:val="728C73F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YmIxMGZiYTdlNmUwNGUzM2EyMTMxMTQxMjIyNzcifQ=="/>
  </w:docVars>
  <w:rsids>
    <w:rsidRoot w:val="161C4FF3"/>
    <w:rsid w:val="161C4FF3"/>
    <w:rsid w:val="5712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3523</Words>
  <Characters>3694</Characters>
  <Lines>0</Lines>
  <Paragraphs>0</Paragraphs>
  <TotalTime>10</TotalTime>
  <ScaleCrop>false</ScaleCrop>
  <LinksUpToDate>false</LinksUpToDate>
  <CharactersWithSpaces>3856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2022-07-14T00:14:00Z</dcterms:created>
  <dc:creator>丁威</dc:creator>
  <cp:lastModifiedBy>Administrator</cp:lastModifiedBy>
  <dcterms:modified xsi:type="dcterms:W3CDTF">2022-07-20T01:15:06Z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B6F0CA61BCC943DD9A0E6E6E5F38B38D</vt:lpwstr>
  </property>
</Properties>
</file>