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eastAsia="方正小标宋简体"/>
          <w:bCs/>
          <w:sz w:val="44"/>
          <w:szCs w:val="44"/>
        </w:rPr>
      </w:pPr>
    </w:p>
    <w:p>
      <w:pPr>
        <w:spacing w:line="600" w:lineRule="exact"/>
        <w:jc w:val="both"/>
        <w:rPr>
          <w:rFonts w:hint="eastAsia" w:ascii="方正小标宋简体" w:eastAsia="方正小标宋简体"/>
          <w:bCs/>
          <w:sz w:val="44"/>
          <w:szCs w:val="44"/>
        </w:rPr>
      </w:pPr>
    </w:p>
    <w:p>
      <w:pPr>
        <w:spacing w:line="600" w:lineRule="exact"/>
        <w:jc w:val="both"/>
        <w:rPr>
          <w:rFonts w:hint="eastAsia" w:ascii="方正小标宋简体" w:eastAsia="方正小标宋简体"/>
          <w:bCs/>
          <w:sz w:val="44"/>
          <w:szCs w:val="44"/>
        </w:rPr>
      </w:pPr>
    </w:p>
    <w:p>
      <w:pPr>
        <w:spacing w:line="600" w:lineRule="exact"/>
        <w:jc w:val="both"/>
        <w:rPr>
          <w:rFonts w:hint="eastAsia" w:ascii="方正小标宋简体" w:eastAsia="方正小标宋简体"/>
          <w:bCs/>
          <w:sz w:val="44"/>
          <w:szCs w:val="44"/>
        </w:rPr>
      </w:pPr>
    </w:p>
    <w:p>
      <w:pPr>
        <w:spacing w:line="600" w:lineRule="exact"/>
        <w:jc w:val="both"/>
        <w:rPr>
          <w:rFonts w:hint="eastAsia" w:ascii="方正小标宋简体" w:eastAsia="方正小标宋简体"/>
          <w:bCs/>
          <w:sz w:val="44"/>
          <w:szCs w:val="44"/>
        </w:rPr>
      </w:pP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岳阳市云溪区</w:t>
      </w:r>
      <w:r>
        <w:rPr>
          <w:rFonts w:hint="eastAsia" w:ascii="方正小标宋简体" w:eastAsia="方正小标宋简体"/>
          <w:bCs/>
          <w:sz w:val="44"/>
          <w:szCs w:val="44"/>
          <w:u w:val="none"/>
        </w:rPr>
        <w:t>2021</w:t>
      </w:r>
      <w:r>
        <w:rPr>
          <w:rFonts w:hint="eastAsia" w:ascii="方正小标宋简体" w:eastAsia="方正小标宋简体"/>
          <w:bCs/>
          <w:sz w:val="44"/>
          <w:szCs w:val="44"/>
        </w:rPr>
        <w:t>年度部门整体支出</w:t>
      </w: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绩效评价自评报告</w:t>
      </w:r>
    </w:p>
    <w:p>
      <w:pPr>
        <w:spacing w:line="600" w:lineRule="exact"/>
        <w:rPr>
          <w:rFonts w:hint="eastAsia" w:eastAsia="仿宋_GB2312"/>
          <w:b/>
          <w:sz w:val="32"/>
        </w:rPr>
      </w:pPr>
    </w:p>
    <w:p>
      <w:pPr>
        <w:spacing w:line="600" w:lineRule="exact"/>
        <w:rPr>
          <w:rFonts w:hint="eastAsia" w:eastAsia="仿宋_GB2312"/>
          <w:b/>
          <w:sz w:val="32"/>
        </w:rPr>
      </w:pPr>
      <w:r>
        <w:rPr>
          <w:rFonts w:hint="eastAsia" w:eastAsia="仿宋_GB2312"/>
          <w:b/>
          <w:sz w:val="32"/>
        </w:rPr>
        <w:t xml:space="preserve"> </w:t>
      </w:r>
    </w:p>
    <w:p>
      <w:pPr>
        <w:spacing w:line="600" w:lineRule="exact"/>
        <w:rPr>
          <w:rFonts w:hint="eastAsia" w:eastAsia="仿宋_GB2312"/>
          <w:b/>
          <w:sz w:val="32"/>
        </w:rPr>
      </w:pPr>
    </w:p>
    <w:p>
      <w:pPr>
        <w:spacing w:line="600" w:lineRule="exact"/>
        <w:rPr>
          <w:rFonts w:hint="eastAsia" w:eastAsia="仿宋_GB2312"/>
          <w:b/>
          <w:sz w:val="32"/>
        </w:rPr>
      </w:pPr>
    </w:p>
    <w:p>
      <w:pPr>
        <w:spacing w:line="800" w:lineRule="exact"/>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 xml:space="preserve">中共岳阳市云溪区纪律检查委员会 </w:t>
      </w:r>
      <w:r>
        <w:rPr>
          <w:rFonts w:hint="eastAsia" w:eastAsia="仿宋_GB2312"/>
          <w:sz w:val="32"/>
          <w:szCs w:val="32"/>
          <w:u w:val="single"/>
        </w:rPr>
        <w:t xml:space="preserve"> </w:t>
      </w:r>
    </w:p>
    <w:p>
      <w:pPr>
        <w:spacing w:line="800" w:lineRule="exact"/>
        <w:ind w:firstLine="476" w:firstLineChars="150"/>
        <w:rPr>
          <w:rFonts w:hint="eastAsia" w:eastAsia="仿宋_GB2312"/>
          <w:sz w:val="32"/>
          <w:szCs w:val="32"/>
        </w:rPr>
      </w:pPr>
      <w:r>
        <w:rPr>
          <w:rFonts w:hint="eastAsia" w:eastAsia="仿宋_GB2312"/>
          <w:sz w:val="32"/>
          <w:szCs w:val="32"/>
        </w:rPr>
        <w:t>预算编码：</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r>
        <w:rPr>
          <w:rFonts w:hint="eastAsia" w:eastAsia="仿宋_GB2312"/>
          <w:sz w:val="32"/>
          <w:szCs w:val="32"/>
          <w:u w:val="single"/>
          <w:lang w:val="en-US" w:eastAsia="zh-CN"/>
        </w:rPr>
        <w:t>109</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p>
    <w:p>
      <w:pPr>
        <w:spacing w:line="800" w:lineRule="exact"/>
        <w:ind w:firstLine="476" w:firstLineChars="150"/>
        <w:rPr>
          <w:rFonts w:hint="eastAsia" w:eastAsia="仿宋_GB2312"/>
          <w:sz w:val="32"/>
          <w:szCs w:val="32"/>
        </w:rPr>
      </w:pPr>
      <w:r>
        <w:rPr>
          <w:rFonts w:hint="eastAsia" w:eastAsia="仿宋_GB2312"/>
          <w:sz w:val="32"/>
          <w:szCs w:val="32"/>
        </w:rPr>
        <w:t>评价方式：部门（单位）绩效自评</w:t>
      </w:r>
    </w:p>
    <w:p>
      <w:pPr>
        <w:spacing w:line="800" w:lineRule="exact"/>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600" w:lineRule="exact"/>
        <w:ind w:firstLine="2188" w:firstLineChars="690"/>
        <w:rPr>
          <w:rFonts w:hint="eastAsia" w:eastAsia="仿宋_GB2312"/>
          <w:sz w:val="32"/>
        </w:rPr>
      </w:pPr>
    </w:p>
    <w:p>
      <w:pPr>
        <w:spacing w:line="600" w:lineRule="exact"/>
        <w:rPr>
          <w:rFonts w:hint="eastAsia" w:eastAsia="仿宋_GB2312"/>
          <w:sz w:val="32"/>
        </w:rPr>
      </w:pPr>
    </w:p>
    <w:p>
      <w:pPr>
        <w:spacing w:line="600" w:lineRule="exact"/>
        <w:ind w:firstLine="2188" w:firstLineChars="690"/>
        <w:rPr>
          <w:rFonts w:hint="eastAsia" w:eastAsia="仿宋_GB2312"/>
          <w:sz w:val="32"/>
        </w:rPr>
      </w:pPr>
    </w:p>
    <w:p>
      <w:pPr>
        <w:spacing w:line="600" w:lineRule="exact"/>
        <w:jc w:val="center"/>
        <w:rPr>
          <w:rFonts w:hint="eastAsia"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7</w:t>
      </w:r>
      <w:r>
        <w:rPr>
          <w:rFonts w:hint="eastAsia" w:eastAsia="仿宋_GB2312"/>
          <w:sz w:val="32"/>
        </w:rPr>
        <w:t>月</w:t>
      </w:r>
      <w:r>
        <w:rPr>
          <w:rFonts w:hint="eastAsia" w:eastAsia="仿宋_GB2312"/>
          <w:sz w:val="32"/>
          <w:lang w:val="en-US" w:eastAsia="zh-CN"/>
        </w:rPr>
        <w:t>14</w:t>
      </w:r>
      <w:r>
        <w:rPr>
          <w:rFonts w:hint="eastAsia" w:eastAsia="仿宋_GB2312"/>
          <w:sz w:val="32"/>
        </w:rPr>
        <w:t>日</w:t>
      </w:r>
    </w:p>
    <w:p>
      <w:pPr>
        <w:autoSpaceDN w:val="0"/>
        <w:spacing w:line="600" w:lineRule="exact"/>
        <w:jc w:val="center"/>
        <w:textAlignment w:val="center"/>
        <w:rPr>
          <w:rFonts w:hint="eastAsia" w:eastAsia="仿宋_GB2312"/>
          <w:sz w:val="32"/>
          <w:szCs w:val="32"/>
        </w:rPr>
        <w:sectPr>
          <w:footerReference r:id="rId3" w:type="default"/>
          <w:footerReference r:id="rId4" w:type="even"/>
          <w:pgSz w:w="11906" w:h="16838"/>
          <w:pgMar w:top="1814" w:right="1588" w:bottom="1701" w:left="1588" w:header="851" w:footer="1361" w:gutter="0"/>
          <w:pgNumType w:start="1"/>
          <w:cols w:space="720" w:num="1"/>
          <w:titlePg/>
          <w:docGrid w:type="linesAndChars" w:linePitch="602" w:charSpace="-782"/>
        </w:sectPr>
      </w:pPr>
      <w:r>
        <w:rPr>
          <w:rFonts w:hint="eastAsia" w:eastAsia="仿宋_GB2312"/>
          <w:sz w:val="32"/>
        </w:rPr>
        <w:t>岳阳市云溪区财政</w:t>
      </w:r>
      <w:r>
        <w:rPr>
          <w:rFonts w:hint="eastAsia" w:eastAsia="仿宋_GB2312"/>
          <w:sz w:val="32"/>
          <w:szCs w:val="32"/>
        </w:rPr>
        <w:t>局（制）</w:t>
      </w:r>
    </w:p>
    <w:tbl>
      <w:tblPr>
        <w:tblStyle w:val="3"/>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成维</w:t>
            </w:r>
          </w:p>
        </w:tc>
        <w:tc>
          <w:tcPr>
            <w:tcW w:w="1479"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8415016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w:t>
            </w:r>
          </w:p>
        </w:tc>
        <w:tc>
          <w:tcPr>
            <w:tcW w:w="1479"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实有人数58人（在职55人，劳务派遣1人，退休2人）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31"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责全区党的纪律检查工作，依照党的章程和其他党内法规履行监督、执纪、问责职责，在区委领导下组织开展巡视工作。负责全区监察工作，依照法律规定履行监督、调查、处置职责。负责组织协调全区全面从严治党、党风廉政建设和反腐败宣传教育工作，对纪检监察工作重要理论及实践问题进行调查研究。负责协调落实中央纪委国家监委、省纪委省监委、市纪委市监委交办的反腐败国际交流、合作、追逃等事宜。根据干部管理权限，负责全区纪检监察系统领导班子建设、干部队伍建设和组织建设综合规划、业务指导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30"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任务1：</w:t>
            </w:r>
            <w:r>
              <w:rPr>
                <w:rFonts w:hint="eastAsia" w:ascii="仿宋_GB2312" w:hAnsi="仿宋_GB2312" w:eastAsia="仿宋_GB2312" w:cs="仿宋_GB2312"/>
                <w:color w:val="000000"/>
                <w:sz w:val="24"/>
                <w:lang w:val="en-US" w:eastAsia="zh-CN"/>
              </w:rPr>
              <w:t>强化政治监督，推动“两个维护”落地见效。</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2：保持高压态势，推动正风反腐纵深发展。</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任务3：</w:t>
            </w:r>
            <w:r>
              <w:rPr>
                <w:rFonts w:hint="eastAsia" w:ascii="仿宋_GB2312" w:hAnsi="仿宋_GB2312" w:eastAsia="仿宋_GB2312" w:cs="仿宋_GB2312"/>
                <w:color w:val="000000"/>
                <w:sz w:val="24"/>
                <w:lang w:val="en-US" w:eastAsia="zh-CN"/>
              </w:rPr>
              <w:t>驰而不息纠治“四风”，清风正气日益充盈。</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深入整治基层“微腐败”，人民群众满意度获得感持续提升。</w:t>
            </w:r>
          </w:p>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5：推动“两个责任”贯通落实，监督治理效能不断增强。</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6：从严从实加强自我监督约束，建设高素质纪检监察队伍。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08"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年度部门（单位）总体运行</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情况及取得的成绩</w:t>
            </w:r>
          </w:p>
        </w:tc>
        <w:tc>
          <w:tcPr>
            <w:tcW w:w="8146" w:type="dxa"/>
            <w:gridSpan w:val="15"/>
            <w:noWrap w:val="0"/>
            <w:vAlign w:val="center"/>
          </w:tcPr>
          <w:p>
            <w:pPr>
              <w:autoSpaceDN w:val="0"/>
              <w:spacing w:line="36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深入推进“洞庭清波”专项行动，召开联席会议和专题会议5次，开展专项督查7次，全面完成42个问题清单的整改销号。围绕长江流域重点水域“十年禁渔”开展监督，立案1件，处分2人。开展贯彻落实省第十二次党代会精神对账检查和市第八次党代会精神学习传达情况专项督查，督促3家单位“补火”。严明换届工作纪律，严格落实纪律教育、全程监督、廉政把关、执纪问责“四个从严”要求，采取驻团监督、驻会监督和巡回监督等方式开展全链条、封闭式监督，确保了换届风清气正、圆满顺利。抓紧抓实常态化疫情防控监督，开展“一单两码三签字”全员大排查活动，强化监督检查，下发通报15期</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2021年受理信访举报107件，处置107件，处置率100%。坚持“新官必理旧事”，对2016年以来信访举报、巡察移交及各级交办移送的问题线索进行大起底，核查问题线索69件，立案39件，留置1人，处分33人</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协同</w:t>
            </w:r>
            <w:r>
              <w:rPr>
                <w:rFonts w:hint="eastAsia" w:ascii="仿宋_GB2312" w:hAnsi="仿宋_GB2312" w:eastAsia="仿宋_GB2312" w:cs="仿宋_GB2312"/>
                <w:color w:val="000000"/>
                <w:sz w:val="24"/>
                <w:lang w:eastAsia="zh-CN"/>
              </w:rPr>
              <w:t>开展政法队伍教育整顿，立案2件，处理处分20人。带头抓好省委巡视整改，完成省委巡视交办的45件信访举报件及问题线索的办理，立案11件，处理处分33人。推动乡村振兴“一领域一专题”专项监督，开展惠民惠农财政补贴资金“一卡通”问题专项整治，召开专题约谈会，约谈“一把手”4人，推动全区2134人次47.49万元“一卡通”资金补发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1127.12</w:t>
            </w:r>
          </w:p>
        </w:tc>
        <w:tc>
          <w:tcPr>
            <w:tcW w:w="1355" w:type="dxa"/>
            <w:gridSpan w:val="2"/>
            <w:tcBorders>
              <w:lef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1127.12</w:t>
            </w:r>
          </w:p>
        </w:tc>
        <w:tc>
          <w:tcPr>
            <w:tcW w:w="1705"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1127.12</w:t>
            </w:r>
          </w:p>
        </w:tc>
        <w:tc>
          <w:tcPr>
            <w:tcW w:w="1355" w:type="dxa"/>
            <w:gridSpan w:val="2"/>
            <w:tcBorders>
              <w:lef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1127.12</w:t>
            </w:r>
          </w:p>
        </w:tc>
        <w:tc>
          <w:tcPr>
            <w:tcW w:w="1705"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6" w:hRule="atLeast"/>
          <w:jc w:val="center"/>
        </w:trPr>
        <w:tc>
          <w:tcPr>
            <w:tcW w:w="1700" w:type="dxa"/>
            <w:gridSpan w:val="3"/>
            <w:vMerge w:val="restart"/>
            <w:noWrap w:val="0"/>
            <w:vAlign w:val="center"/>
          </w:tcPr>
          <w:p>
            <w:pPr>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7" w:hRule="atLeast"/>
          <w:jc w:val="center"/>
        </w:trPr>
        <w:tc>
          <w:tcPr>
            <w:tcW w:w="1700" w:type="dxa"/>
            <w:gridSpan w:val="3"/>
            <w:vMerge w:val="continue"/>
            <w:noWrap w:val="0"/>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7" w:hRule="atLeast"/>
          <w:jc w:val="center"/>
        </w:trPr>
        <w:tc>
          <w:tcPr>
            <w:tcW w:w="1700" w:type="dxa"/>
            <w:gridSpan w:val="3"/>
            <w:vMerge w:val="continue"/>
            <w:noWrap w:val="0"/>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9"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1127.12</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1112.99</w:t>
            </w: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691.96</w:t>
            </w: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421.03</w:t>
            </w:r>
          </w:p>
        </w:tc>
        <w:tc>
          <w:tcPr>
            <w:tcW w:w="1080" w:type="dxa"/>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14.13</w:t>
            </w:r>
          </w:p>
        </w:tc>
        <w:tc>
          <w:tcPr>
            <w:tcW w:w="720" w:type="dxa"/>
            <w:gridSpan w:val="3"/>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8"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1127.12</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1112.99</w:t>
            </w:r>
          </w:p>
        </w:tc>
        <w:tc>
          <w:tcPr>
            <w:tcW w:w="1080" w:type="dxa"/>
            <w:gridSpan w:val="2"/>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691.96</w:t>
            </w:r>
          </w:p>
        </w:tc>
        <w:tc>
          <w:tcPr>
            <w:tcW w:w="2160" w:type="dxa"/>
            <w:gridSpan w:val="4"/>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421.03</w:t>
            </w:r>
          </w:p>
        </w:tc>
        <w:tc>
          <w:tcPr>
            <w:tcW w:w="1080" w:type="dxa"/>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14.13</w:t>
            </w:r>
          </w:p>
        </w:tc>
        <w:tc>
          <w:tcPr>
            <w:tcW w:w="720" w:type="dxa"/>
            <w:gridSpan w:val="3"/>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8"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9"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3.32</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3.32</w:t>
            </w: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3.32</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3.32</w:t>
            </w: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169.67</w:t>
            </w:r>
          </w:p>
        </w:tc>
        <w:tc>
          <w:tcPr>
            <w:tcW w:w="2435" w:type="dxa"/>
            <w:gridSpan w:val="4"/>
            <w:tcBorders>
              <w:lef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169.67</w:t>
            </w:r>
          </w:p>
        </w:tc>
        <w:tc>
          <w:tcPr>
            <w:tcW w:w="364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169.67</w:t>
            </w:r>
          </w:p>
        </w:tc>
        <w:tc>
          <w:tcPr>
            <w:tcW w:w="2435" w:type="dxa"/>
            <w:gridSpan w:val="4"/>
            <w:tcBorders>
              <w:lef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169.67</w:t>
            </w:r>
          </w:p>
        </w:tc>
        <w:tc>
          <w:tcPr>
            <w:tcW w:w="364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3774" w:type="dxa"/>
            <w:gridSpan w:val="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目标1</w:t>
            </w:r>
            <w:r>
              <w:rPr>
                <w:rFonts w:hint="eastAsia" w:ascii="仿宋_GB2312" w:hAnsi="仿宋_GB2312" w:eastAsia="仿宋_GB2312" w:cs="仿宋_GB2312"/>
                <w:color w:val="000000"/>
                <w:sz w:val="24"/>
              </w:rPr>
              <w:t>：强化政治监督，推动“两个维护”落地见效。</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w:t>
            </w:r>
            <w:r>
              <w:rPr>
                <w:rFonts w:hint="eastAsia" w:ascii="仿宋_GB2312" w:hAnsi="仿宋_GB2312" w:eastAsia="仿宋_GB2312" w:cs="仿宋_GB2312"/>
                <w:color w:val="000000"/>
                <w:sz w:val="24"/>
              </w:rPr>
              <w:t>2：保持高压态势，推动正风反腐纵深发展。</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w:t>
            </w:r>
            <w:r>
              <w:rPr>
                <w:rFonts w:hint="eastAsia" w:ascii="仿宋_GB2312" w:hAnsi="仿宋_GB2312" w:eastAsia="仿宋_GB2312" w:cs="仿宋_GB2312"/>
                <w:color w:val="000000"/>
                <w:sz w:val="24"/>
              </w:rPr>
              <w:t>3：驰而不息纠治“四风”，清风正气日益充盈。</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w:t>
            </w:r>
            <w:r>
              <w:rPr>
                <w:rFonts w:hint="eastAsia" w:ascii="仿宋_GB2312" w:hAnsi="仿宋_GB2312" w:eastAsia="仿宋_GB2312" w:cs="仿宋_GB2312"/>
                <w:color w:val="000000"/>
                <w:sz w:val="24"/>
              </w:rPr>
              <w:t>4：深入整治基层“微腐败”，人民群众满意度获得感持续提升。</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w:t>
            </w:r>
            <w:r>
              <w:rPr>
                <w:rFonts w:hint="eastAsia" w:ascii="仿宋_GB2312" w:hAnsi="仿宋_GB2312" w:eastAsia="仿宋_GB2312" w:cs="仿宋_GB2312"/>
                <w:color w:val="000000"/>
                <w:sz w:val="24"/>
              </w:rPr>
              <w:t>5：推动“两个责任”贯通落实，监督治理效能不断增强。</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w:t>
            </w:r>
            <w:r>
              <w:rPr>
                <w:rFonts w:hint="eastAsia" w:ascii="仿宋_GB2312" w:hAnsi="仿宋_GB2312" w:eastAsia="仿宋_GB2312" w:cs="仿宋_GB2312"/>
                <w:color w:val="000000"/>
                <w:sz w:val="24"/>
              </w:rPr>
              <w:t>6：从严从实加强自我监督约束，建设高素质纪检监察队伍。</w:t>
            </w:r>
          </w:p>
        </w:tc>
        <w:tc>
          <w:tcPr>
            <w:tcW w:w="4585" w:type="dxa"/>
            <w:gridSpan w:val="9"/>
            <w:noWrap w:val="0"/>
            <w:vAlign w:val="center"/>
          </w:tcPr>
          <w:p>
            <w:pPr>
              <w:numPr>
                <w:ilvl w:val="0"/>
                <w:numId w:val="1"/>
              </w:numPr>
              <w:autoSpaceDN w:val="0"/>
              <w:spacing w:line="3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围绕贯彻落实习近平总书记重要讲话重要指示批示精神，加强监督检查和调研督导，推动党中央重大决策部署落细落地。严明换届工作纪律，严格落实纪律教育、全程监督、廉政把关、执纪问责“四个从严”要求，采取驻团监督、驻会监督和巡回监督等方式开展全链条、封闭式监督，确保了换届风清气正、圆满顺利。</w:t>
            </w:r>
          </w:p>
          <w:p>
            <w:pPr>
              <w:numPr>
                <w:ilvl w:val="0"/>
                <w:numId w:val="1"/>
              </w:numPr>
              <w:autoSpaceDN w:val="0"/>
              <w:spacing w:line="3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以“八个一”活动为统领，即召开一次信访举报形势分析会、开展一次信访举报“大起底”、讲授一堂信访举报业务辅导课、出台一个规范性操作文件、建立一个厂地纪检监察信访举报移交机制、选拔一批干部到信访室跟班、举行一次公开澄清正名、召开一次突出信访问题交办会，推动信访举报提质增效。</w:t>
            </w:r>
          </w:p>
          <w:p>
            <w:pPr>
              <w:numPr>
                <w:ilvl w:val="0"/>
                <w:numId w:val="1"/>
              </w:numPr>
              <w:autoSpaceDN w:val="0"/>
              <w:spacing w:line="3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深入学习省委整治违规吃喝隐形变异“十严禁”，特别是新一届区委第1次常委会专题学习省纪委加强“一把手”监督“十必严”、整治违规吃喝隐形变异“十严禁”和市纪委工作要求，树立了鲜明导向。紧扣节假日，紧盯“四风”问题隐形变异，开展突击检查、交叉检查。</w:t>
            </w:r>
          </w:p>
          <w:p>
            <w:pPr>
              <w:numPr>
                <w:ilvl w:val="0"/>
                <w:numId w:val="1"/>
              </w:numPr>
              <w:autoSpaceDN w:val="0"/>
              <w:spacing w:line="3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推动乡村振兴“一领域一专题”专项监督，开展惠民惠农财政补贴资金“一卡通”问题专项整治，深入开展“四位”突出问题自查自纠和农民乱占耕地建房专项整治。开展工程建设领域“一季一专题”专项整治。</w:t>
            </w:r>
          </w:p>
          <w:p>
            <w:pPr>
              <w:numPr>
                <w:ilvl w:val="0"/>
                <w:numId w:val="1"/>
              </w:numPr>
              <w:autoSpaceDN w:val="0"/>
              <w:spacing w:line="3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区纪委监委切实履行监督责任和协助职责，通过调研督导、召开座谈会、专题调度等方式，压紧压实主体责任。坚持用问责倒逼责任落实。</w:t>
            </w:r>
          </w:p>
          <w:p>
            <w:pPr>
              <w:numPr>
                <w:ilvl w:val="0"/>
                <w:numId w:val="1"/>
              </w:numPr>
              <w:autoSpaceDN w:val="0"/>
              <w:spacing w:line="3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以换届为契机，选优配强区、镇纪委领导班子。加大纪检监察和巡察干部交流使用力度，交流重用提拔15名干部，解决16名干部职级待遇，激发干部队伍活力。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指标1：强化政治监督，推动“两个维护”落地见效。</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6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指标2：保持高压态势，推动正风反腐纵深发展。</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6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指标3：</w:t>
            </w:r>
            <w:r>
              <w:rPr>
                <w:rFonts w:hint="eastAsia" w:ascii="仿宋_GB2312" w:hAnsi="仿宋_GB2312" w:eastAsia="仿宋_GB2312" w:cs="仿宋_GB2312"/>
                <w:color w:val="000000"/>
                <w:sz w:val="24"/>
              </w:rPr>
              <w:t>驰而不息纠治“四风”，清风正气日益充盈。</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受理信访件个数</w:t>
            </w:r>
          </w:p>
        </w:tc>
        <w:tc>
          <w:tcPr>
            <w:tcW w:w="2684" w:type="dxa"/>
            <w:gridSpan w:val="6"/>
            <w:noWrap w:val="0"/>
            <w:vAlign w:val="center"/>
          </w:tcPr>
          <w:p>
            <w:pPr>
              <w:autoSpaceDN w:val="0"/>
              <w:spacing w:line="36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1"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6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val="en-US" w:eastAsia="zh-CN"/>
              </w:rPr>
              <w:t>查办案件数量</w:t>
            </w:r>
          </w:p>
        </w:tc>
        <w:tc>
          <w:tcPr>
            <w:tcW w:w="2684" w:type="dxa"/>
            <w:gridSpan w:val="6"/>
            <w:noWrap w:val="0"/>
            <w:vAlign w:val="center"/>
          </w:tcPr>
          <w:p>
            <w:pPr>
              <w:autoSpaceDN w:val="0"/>
              <w:spacing w:line="36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9"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在规定的时间内查办案件，无超期现象。</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3"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成本控制在预算内</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紧盯重要时间节点和重点领域，对顶风违纪行为严惩不贷，对隐形变种问题深挖细查。对信访举报、巡察和交叉检查移交和执纪审查中发现的问题线索及时办理，传导执纪压力，加大纪律审查和监察调查力度，形成震慑。</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强化监督执纪问责为经济发展保驾护航。</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1"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严明党的政治纪律、政治规矩，净化政治生态。</w:t>
            </w:r>
          </w:p>
        </w:tc>
        <w:tc>
          <w:tcPr>
            <w:tcW w:w="2684" w:type="dxa"/>
            <w:gridSpan w:val="6"/>
            <w:noWrap w:val="0"/>
            <w:vAlign w:val="center"/>
          </w:tcPr>
          <w:p>
            <w:pPr>
              <w:autoSpaceDN w:val="0"/>
              <w:spacing w:line="36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加大群众身边腐败问题的处理力度，增强人民群众获得感。</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0"/>
            <w:vAlign w:val="center"/>
          </w:tcPr>
          <w:p>
            <w:pPr>
              <w:autoSpaceDN w:val="0"/>
              <w:spacing w:line="3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熊安大</w:t>
            </w:r>
          </w:p>
        </w:tc>
        <w:tc>
          <w:tcPr>
            <w:tcW w:w="3561" w:type="dxa"/>
            <w:gridSpan w:val="6"/>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区纪委常务副书记、监委副主任</w:t>
            </w:r>
          </w:p>
        </w:tc>
        <w:tc>
          <w:tcPr>
            <w:tcW w:w="1479" w:type="dxa"/>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云溪区纪委监委</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李梦婷</w:t>
            </w:r>
          </w:p>
        </w:tc>
        <w:tc>
          <w:tcPr>
            <w:tcW w:w="3561" w:type="dxa"/>
            <w:gridSpan w:val="6"/>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区纪委常委</w:t>
            </w:r>
          </w:p>
        </w:tc>
        <w:tc>
          <w:tcPr>
            <w:tcW w:w="1479"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云溪区纪委监委</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游红霞</w:t>
            </w:r>
          </w:p>
        </w:tc>
        <w:tc>
          <w:tcPr>
            <w:tcW w:w="3561" w:type="dxa"/>
            <w:gridSpan w:val="6"/>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办公室主任</w:t>
            </w:r>
          </w:p>
        </w:tc>
        <w:tc>
          <w:tcPr>
            <w:tcW w:w="1479"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云溪区纪委监委</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成维</w:t>
            </w:r>
          </w:p>
        </w:tc>
        <w:tc>
          <w:tcPr>
            <w:tcW w:w="3561" w:type="dxa"/>
            <w:gridSpan w:val="6"/>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办公室科员</w:t>
            </w:r>
          </w:p>
        </w:tc>
        <w:tc>
          <w:tcPr>
            <w:tcW w:w="1479"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云溪区纪委监委</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0" w:hRule="atLeast"/>
          <w:jc w:val="center"/>
        </w:trPr>
        <w:tc>
          <w:tcPr>
            <w:tcW w:w="9800" w:type="dxa"/>
            <w:gridSpan w:val="17"/>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90" w:hRule="atLeast"/>
          <w:jc w:val="center"/>
        </w:trPr>
        <w:tc>
          <w:tcPr>
            <w:tcW w:w="9800" w:type="dxa"/>
            <w:gridSpan w:val="17"/>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60" w:hRule="atLeast"/>
          <w:jc w:val="center"/>
        </w:trPr>
        <w:tc>
          <w:tcPr>
            <w:tcW w:w="9800" w:type="dxa"/>
            <w:gridSpan w:val="17"/>
            <w:noWrap w:val="0"/>
            <w:vAlign w:val="center"/>
          </w:tcPr>
          <w:p>
            <w:pPr>
              <w:spacing w:line="360" w:lineRule="exact"/>
              <w:rPr>
                <w:rFonts w:hint="eastAsia" w:eastAsia="仿宋_GB2312"/>
                <w:sz w:val="24"/>
              </w:rPr>
            </w:pPr>
            <w:r>
              <w:rPr>
                <w:rFonts w:hint="eastAsia" w:eastAsia="仿宋_GB2312"/>
                <w:sz w:val="24"/>
              </w:rPr>
              <w:t>财政部门归口业务股室意见：</w:t>
            </w:r>
          </w:p>
          <w:p>
            <w:pPr>
              <w:spacing w:line="360" w:lineRule="exact"/>
              <w:rPr>
                <w:rFonts w:hint="eastAsia" w:eastAsia="仿宋_GB2312"/>
                <w:sz w:val="24"/>
              </w:rPr>
            </w:pPr>
          </w:p>
          <w:p>
            <w:pPr>
              <w:spacing w:line="360" w:lineRule="exact"/>
              <w:rPr>
                <w:rFonts w:hint="eastAsia" w:eastAsia="仿宋_GB2312"/>
                <w:sz w:val="24"/>
              </w:rPr>
            </w:pPr>
          </w:p>
          <w:p>
            <w:pPr>
              <w:spacing w:line="360" w:lineRule="exact"/>
              <w:rPr>
                <w:rFonts w:hint="eastAsia" w:eastAsia="仿宋_GB2312"/>
                <w:sz w:val="24"/>
              </w:rPr>
            </w:pPr>
          </w:p>
          <w:p>
            <w:pPr>
              <w:spacing w:line="360" w:lineRule="exact"/>
              <w:rPr>
                <w:rFonts w:hint="eastAsia" w:eastAsia="仿宋_GB2312"/>
                <w:sz w:val="24"/>
              </w:rPr>
            </w:pPr>
          </w:p>
          <w:p>
            <w:pPr>
              <w:spacing w:line="360" w:lineRule="exact"/>
              <w:rPr>
                <w:rFonts w:hint="eastAsia" w:eastAsia="仿宋_GB2312"/>
                <w:sz w:val="24"/>
              </w:rPr>
            </w:pPr>
            <w:r>
              <w:rPr>
                <w:rFonts w:hint="eastAsia" w:eastAsia="仿宋_GB2312"/>
                <w:sz w:val="24"/>
              </w:rPr>
              <w:t xml:space="preserve">                                  财政部门归口业务股室负责人（签章）：</w:t>
            </w: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spacing w:line="540" w:lineRule="exact"/>
        <w:rPr>
          <w:rFonts w:hint="eastAsia" w:eastAsia="仿宋_GB2312" w:cs="仿宋_GB2312"/>
          <w:bCs/>
          <w:sz w:val="28"/>
          <w:szCs w:val="28"/>
        </w:rPr>
      </w:pPr>
      <w:r>
        <w:rPr>
          <w:rFonts w:hint="eastAsia" w:eastAsia="仿宋_GB2312" w:cs="仿宋_GB2312"/>
          <w:bCs/>
          <w:sz w:val="28"/>
          <w:szCs w:val="28"/>
        </w:rPr>
        <w:t>填报人（签名）：                          联系电话：</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spacing w:line="480" w:lineRule="exact"/>
              <w:jc w:val="center"/>
              <w:rPr>
                <w:rFonts w:hint="eastAsia" w:ascii="黑体" w:hAnsi="黑体" w:eastAsia="黑体" w:cs="黑体"/>
                <w:bCs/>
                <w:sz w:val="28"/>
                <w:szCs w:val="28"/>
              </w:rPr>
            </w:pPr>
            <w:r>
              <w:rPr>
                <w:rFonts w:hint="eastAsia" w:ascii="黑体" w:hAnsi="黑体" w:eastAsia="黑体" w:cs="黑体"/>
                <w:bCs/>
                <w:sz w:val="28"/>
                <w:szCs w:val="28"/>
              </w:rPr>
              <w:t>五、评价报告综述</w:t>
            </w:r>
          </w:p>
          <w:p>
            <w:pPr>
              <w:spacing w:line="480" w:lineRule="exact"/>
              <w:ind w:firstLine="640" w:firstLineChars="200"/>
              <w:rPr>
                <w:rFonts w:hint="eastAsia" w:eastAsia="仿宋_GB2312"/>
                <w:sz w:val="32"/>
                <w:szCs w:val="32"/>
              </w:rPr>
            </w:pPr>
          </w:p>
          <w:p>
            <w:pPr>
              <w:spacing w:line="480" w:lineRule="exact"/>
              <w:ind w:firstLine="480" w:firstLineChars="200"/>
              <w:rPr>
                <w:rFonts w:hint="eastAsia" w:ascii="黑体" w:hAnsi="黑体" w:eastAsia="黑体" w:cs="黑体"/>
                <w:bCs/>
                <w:sz w:val="24"/>
              </w:rPr>
            </w:pPr>
            <w:r>
              <w:rPr>
                <w:rFonts w:hint="eastAsia" w:ascii="黑体" w:hAnsi="黑体" w:eastAsia="黑体" w:cs="黑体"/>
                <w:bCs/>
                <w:sz w:val="24"/>
              </w:rPr>
              <w:t>一、部门（单位）概况</w:t>
            </w:r>
          </w:p>
          <w:p>
            <w:pPr>
              <w:spacing w:line="480" w:lineRule="exact"/>
              <w:ind w:firstLine="480" w:firstLineChars="200"/>
              <w:rPr>
                <w:rFonts w:hint="eastAsia" w:ascii="仿宋_GB2312" w:hAnsi="宋体" w:eastAsia="仿宋_GB2312" w:cs="宋体"/>
                <w:bCs/>
                <w:sz w:val="24"/>
              </w:rPr>
            </w:pPr>
            <w:r>
              <w:rPr>
                <w:rFonts w:hint="eastAsia" w:ascii="仿宋_GB2312" w:hAnsi="宋体" w:eastAsia="仿宋_GB2312" w:cs="宋体"/>
                <w:bCs/>
                <w:sz w:val="24"/>
              </w:rPr>
              <w:t>部门（单位）基本情况</w:t>
            </w:r>
          </w:p>
          <w:p>
            <w:pPr>
              <w:spacing w:line="480" w:lineRule="exact"/>
              <w:ind w:firstLine="480" w:firstLineChars="200"/>
              <w:rPr>
                <w:rFonts w:hint="eastAsia" w:ascii="仿宋_GB2312" w:hAnsi="宋体" w:eastAsia="仿宋_GB2312" w:cs="宋体"/>
                <w:bCs/>
                <w:sz w:val="24"/>
                <w:lang w:eastAsia="zh-CN"/>
              </w:rPr>
            </w:pPr>
            <w:r>
              <w:rPr>
                <w:rFonts w:hint="eastAsia" w:ascii="仿宋_GB2312" w:hAnsi="宋体" w:eastAsia="仿宋_GB2312" w:cs="宋体"/>
                <w:bCs/>
                <w:sz w:val="24"/>
                <w:lang w:val="en-US" w:eastAsia="zh-CN"/>
              </w:rPr>
              <w:t>2021</w:t>
            </w:r>
            <w:r>
              <w:rPr>
                <w:rFonts w:hint="eastAsia" w:ascii="仿宋_GB2312" w:hAnsi="宋体" w:eastAsia="仿宋_GB2312" w:cs="宋体"/>
                <w:bCs/>
                <w:sz w:val="24"/>
              </w:rPr>
              <w:t>云溪区纪委监委有</w:t>
            </w:r>
            <w:r>
              <w:rPr>
                <w:rFonts w:hint="eastAsia" w:ascii="仿宋_GB2312" w:hAnsi="宋体" w:eastAsia="仿宋_GB2312" w:cs="宋体"/>
                <w:bCs/>
                <w:sz w:val="24"/>
                <w:lang w:val="en-US" w:eastAsia="zh-CN"/>
              </w:rPr>
              <w:t>58</w:t>
            </w:r>
            <w:r>
              <w:rPr>
                <w:rFonts w:hint="eastAsia" w:ascii="仿宋_GB2312" w:hAnsi="宋体" w:eastAsia="仿宋_GB2312" w:cs="宋体"/>
                <w:bCs/>
                <w:sz w:val="24"/>
              </w:rPr>
              <w:t>人，其中：在职</w:t>
            </w:r>
            <w:r>
              <w:rPr>
                <w:rFonts w:hint="eastAsia" w:ascii="仿宋_GB2312" w:hAnsi="宋体" w:eastAsia="仿宋_GB2312" w:cs="宋体"/>
                <w:bCs/>
                <w:sz w:val="24"/>
                <w:lang w:val="en-US" w:eastAsia="zh-CN"/>
              </w:rPr>
              <w:t>55</w:t>
            </w:r>
            <w:r>
              <w:rPr>
                <w:rFonts w:hint="eastAsia" w:ascii="仿宋_GB2312" w:hAnsi="宋体" w:eastAsia="仿宋_GB2312" w:cs="宋体"/>
                <w:bCs/>
                <w:sz w:val="24"/>
              </w:rPr>
              <w:t>人，劳务派遣1</w:t>
            </w:r>
            <w:r>
              <w:rPr>
                <w:rFonts w:hint="eastAsia" w:ascii="仿宋_GB2312" w:hAnsi="宋体" w:eastAsia="仿宋_GB2312" w:cs="宋体"/>
                <w:bCs/>
                <w:sz w:val="24"/>
                <w:lang w:val="en-US" w:eastAsia="zh-CN"/>
              </w:rPr>
              <w:t>人，</w:t>
            </w:r>
            <w:r>
              <w:rPr>
                <w:rFonts w:hint="eastAsia" w:ascii="仿宋_GB2312" w:hAnsi="宋体" w:eastAsia="仿宋_GB2312" w:cs="宋体"/>
                <w:bCs/>
                <w:sz w:val="24"/>
              </w:rPr>
              <w:t>退休2人。机关设有11个委室，分别是办公室、党风政风监督室、案管室、审理室、信访室、干部监督室、</w:t>
            </w:r>
            <w:r>
              <w:rPr>
                <w:rFonts w:hint="eastAsia" w:ascii="仿宋_GB2312" w:hAnsi="宋体" w:eastAsia="仿宋_GB2312" w:cs="宋体"/>
                <w:bCs/>
                <w:sz w:val="24"/>
                <w:lang w:val="en-US" w:eastAsia="zh-CN"/>
              </w:rPr>
              <w:t>纪检监察</w:t>
            </w:r>
            <w:r>
              <w:rPr>
                <w:rFonts w:hint="eastAsia" w:ascii="仿宋_GB2312" w:hAnsi="宋体" w:eastAsia="仿宋_GB2312" w:cs="宋体"/>
                <w:bCs/>
                <w:sz w:val="24"/>
              </w:rPr>
              <w:t>一室至</w:t>
            </w:r>
            <w:r>
              <w:rPr>
                <w:rFonts w:hint="eastAsia" w:ascii="仿宋_GB2312" w:hAnsi="宋体" w:eastAsia="仿宋_GB2312" w:cs="宋体"/>
                <w:bCs/>
                <w:sz w:val="24"/>
                <w:lang w:val="en-US" w:eastAsia="zh-CN"/>
              </w:rPr>
              <w:t>纪检监察</w:t>
            </w:r>
            <w:r>
              <w:rPr>
                <w:rFonts w:hint="eastAsia" w:ascii="仿宋_GB2312" w:hAnsi="宋体" w:eastAsia="仿宋_GB2312" w:cs="宋体"/>
                <w:bCs/>
                <w:sz w:val="24"/>
              </w:rPr>
              <w:t>五室</w:t>
            </w:r>
            <w:r>
              <w:rPr>
                <w:rFonts w:hint="eastAsia" w:ascii="仿宋_GB2312" w:hAnsi="宋体" w:eastAsia="仿宋_GB2312" w:cs="宋体"/>
                <w:bCs/>
                <w:sz w:val="24"/>
                <w:lang w:eastAsia="zh-CN"/>
              </w:rPr>
              <w:t>。共有8个派驻纪检监察组，分别是驻区委办纪检监察组、驻区政府办纪检监察组、驻区委政法委纪检监察组、驻区财政局纪检监察组、驻区发改局纪检监察组、驻区农业农村局纪检监察组、驻区住建局纪检监察组、驻区教体局纪检监察组</w:t>
            </w:r>
          </w:p>
          <w:p>
            <w:pPr>
              <w:spacing w:line="480" w:lineRule="exact"/>
              <w:ind w:firstLine="480" w:firstLineChars="200"/>
              <w:rPr>
                <w:rFonts w:hint="eastAsia" w:ascii="黑体" w:hAnsi="黑体" w:eastAsia="黑体" w:cs="黑体"/>
                <w:bCs/>
                <w:sz w:val="24"/>
              </w:rPr>
            </w:pPr>
            <w:r>
              <w:rPr>
                <w:rFonts w:hint="eastAsia" w:ascii="黑体" w:hAnsi="黑体" w:eastAsia="黑体" w:cs="黑体"/>
                <w:bCs/>
                <w:sz w:val="24"/>
              </w:rPr>
              <w:t>二、一般公共预算支出情况</w:t>
            </w:r>
          </w:p>
          <w:p>
            <w:pPr>
              <w:spacing w:line="480" w:lineRule="exact"/>
              <w:ind w:firstLine="480" w:firstLineChars="200"/>
              <w:rPr>
                <w:rFonts w:hint="eastAsia" w:ascii="仿宋_GB2312" w:hAnsi="宋体" w:eastAsia="仿宋_GB2312" w:cs="宋体"/>
                <w:bCs/>
                <w:sz w:val="24"/>
              </w:rPr>
            </w:pPr>
            <w:r>
              <w:rPr>
                <w:rFonts w:hint="eastAsia" w:ascii="仿宋_GB2312" w:hAnsi="宋体" w:eastAsia="仿宋_GB2312" w:cs="宋体"/>
                <w:bCs/>
                <w:sz w:val="24"/>
              </w:rPr>
              <w:t>（一）基本支出情况</w:t>
            </w:r>
          </w:p>
          <w:p>
            <w:pPr>
              <w:spacing w:line="480" w:lineRule="exact"/>
              <w:ind w:firstLine="480" w:firstLineChars="200"/>
              <w:rPr>
                <w:rFonts w:hint="eastAsia" w:ascii="仿宋_GB2312" w:hAnsi="宋体" w:eastAsia="仿宋_GB2312" w:cs="宋体"/>
                <w:bCs/>
                <w:sz w:val="24"/>
              </w:rPr>
            </w:pPr>
            <w:r>
              <w:rPr>
                <w:rFonts w:hint="eastAsia" w:ascii="仿宋_GB2312" w:hAnsi="宋体" w:eastAsia="仿宋_GB2312" w:cs="宋体"/>
                <w:bCs/>
                <w:sz w:val="24"/>
              </w:rPr>
              <w:t>我委202</w:t>
            </w:r>
            <w:r>
              <w:rPr>
                <w:rFonts w:hint="eastAsia" w:ascii="仿宋_GB2312" w:hAnsi="宋体" w:eastAsia="仿宋_GB2312" w:cs="宋体"/>
                <w:bCs/>
                <w:sz w:val="24"/>
                <w:lang w:val="en-US" w:eastAsia="zh-CN"/>
              </w:rPr>
              <w:t>1</w:t>
            </w:r>
            <w:r>
              <w:rPr>
                <w:rFonts w:hint="eastAsia" w:ascii="仿宋_GB2312" w:hAnsi="宋体" w:eastAsia="仿宋_GB2312" w:cs="宋体"/>
                <w:bCs/>
                <w:sz w:val="24"/>
              </w:rPr>
              <w:t>年度基本支出整体状况良好。基本支出主要为：人员经费</w:t>
            </w:r>
            <w:r>
              <w:rPr>
                <w:rFonts w:hint="eastAsia" w:ascii="仿宋_GB2312" w:hAnsi="宋体" w:eastAsia="仿宋_GB2312" w:cs="宋体"/>
                <w:bCs/>
                <w:sz w:val="24"/>
                <w:lang w:val="en-US" w:eastAsia="zh-CN"/>
              </w:rPr>
              <w:t>691.96</w:t>
            </w:r>
            <w:r>
              <w:rPr>
                <w:rFonts w:hint="eastAsia" w:ascii="仿宋_GB2312" w:hAnsi="宋体" w:eastAsia="仿宋_GB2312" w:cs="宋体"/>
                <w:bCs/>
                <w:sz w:val="24"/>
              </w:rPr>
              <w:t>万元，公用经费</w:t>
            </w:r>
            <w:r>
              <w:rPr>
                <w:rFonts w:hint="eastAsia" w:ascii="仿宋_GB2312" w:hAnsi="宋体" w:eastAsia="仿宋_GB2312" w:cs="宋体"/>
                <w:bCs/>
                <w:sz w:val="24"/>
                <w:lang w:val="en-US" w:eastAsia="zh-CN"/>
              </w:rPr>
              <w:t>421.03</w:t>
            </w:r>
            <w:r>
              <w:rPr>
                <w:rFonts w:hint="eastAsia" w:ascii="仿宋_GB2312" w:hAnsi="宋体" w:eastAsia="仿宋_GB2312" w:cs="宋体"/>
                <w:bCs/>
                <w:sz w:val="24"/>
              </w:rPr>
              <w:t>万元。均按财政部门要求进行使用和管理。其中“三公”经费的使用和管理严格规范，接待费支出完全按照省市关于公务接待的有关文件执行，202</w:t>
            </w:r>
            <w:r>
              <w:rPr>
                <w:rFonts w:hint="eastAsia" w:ascii="仿宋_GB2312" w:hAnsi="宋体" w:eastAsia="仿宋_GB2312" w:cs="宋体"/>
                <w:bCs/>
                <w:sz w:val="24"/>
                <w:lang w:val="en-US" w:eastAsia="zh-CN"/>
              </w:rPr>
              <w:t>1</w:t>
            </w:r>
            <w:r>
              <w:rPr>
                <w:rFonts w:hint="eastAsia" w:ascii="仿宋_GB2312" w:hAnsi="宋体" w:eastAsia="仿宋_GB2312" w:cs="宋体"/>
                <w:bCs/>
                <w:sz w:val="24"/>
              </w:rPr>
              <w:t>年度我委没有因公出国（境）情况，彻落实厉行节约、严控“三公”经费。</w:t>
            </w:r>
          </w:p>
          <w:p>
            <w:pPr>
              <w:spacing w:line="480" w:lineRule="exact"/>
              <w:ind w:firstLine="480" w:firstLineChars="200"/>
              <w:rPr>
                <w:rFonts w:hint="eastAsia" w:ascii="仿宋_GB2312" w:hAnsi="宋体" w:eastAsia="仿宋_GB2312" w:cs="宋体"/>
                <w:bCs/>
                <w:sz w:val="24"/>
              </w:rPr>
            </w:pPr>
            <w:r>
              <w:rPr>
                <w:rFonts w:hint="eastAsia" w:ascii="仿宋_GB2312" w:hAnsi="宋体" w:eastAsia="仿宋_GB2312" w:cs="宋体"/>
                <w:bCs/>
                <w:sz w:val="24"/>
              </w:rPr>
              <w:t>我委属于报账制单位，只有报账员1名，无专职会计，财务由区财政局国库支付中心统一管理，严格执行区财政局相关文件。</w:t>
            </w:r>
          </w:p>
          <w:p>
            <w:pPr>
              <w:numPr>
                <w:ilvl w:val="0"/>
                <w:numId w:val="2"/>
              </w:numPr>
              <w:spacing w:line="480" w:lineRule="exact"/>
              <w:ind w:firstLine="480" w:firstLineChars="200"/>
              <w:rPr>
                <w:rFonts w:hint="eastAsia" w:ascii="仿宋_GB2312" w:hAnsi="宋体" w:eastAsia="仿宋_GB2312" w:cs="宋体"/>
                <w:bCs/>
                <w:sz w:val="24"/>
              </w:rPr>
            </w:pPr>
            <w:r>
              <w:rPr>
                <w:rFonts w:hint="eastAsia" w:ascii="仿宋_GB2312" w:hAnsi="宋体" w:eastAsia="仿宋_GB2312" w:cs="宋体"/>
                <w:bCs/>
                <w:sz w:val="24"/>
              </w:rPr>
              <w:t>项目支出情况</w:t>
            </w:r>
          </w:p>
          <w:p>
            <w:pPr>
              <w:spacing w:line="560" w:lineRule="exact"/>
              <w:ind w:firstLine="480" w:firstLineChars="200"/>
              <w:rPr>
                <w:rFonts w:hint="eastAsia" w:ascii="仿宋_GB2312" w:hAnsi="宋体" w:eastAsia="仿宋_GB2312" w:cs="宋体"/>
                <w:bCs/>
                <w:sz w:val="24"/>
                <w:lang w:val="en-US" w:eastAsia="zh-CN"/>
              </w:rPr>
            </w:pPr>
            <w:r>
              <w:rPr>
                <w:rFonts w:hint="eastAsia" w:ascii="仿宋_GB2312" w:hAnsi="宋体" w:eastAsia="仿宋_GB2312" w:cs="宋体"/>
                <w:bCs/>
                <w:sz w:val="24"/>
                <w:lang w:val="en-US" w:eastAsia="zh-CN"/>
              </w:rPr>
              <w:t>1、</w:t>
            </w:r>
            <w:r>
              <w:rPr>
                <w:rFonts w:hint="eastAsia" w:ascii="仿宋_GB2312" w:hAnsi="宋体" w:eastAsia="仿宋_GB2312" w:cs="宋体"/>
                <w:bCs/>
                <w:sz w:val="24"/>
              </w:rPr>
              <w:t>乡镇纪检工作经费</w:t>
            </w:r>
            <w:r>
              <w:rPr>
                <w:rFonts w:hint="eastAsia" w:ascii="仿宋_GB2312" w:hAnsi="宋体" w:eastAsia="仿宋_GB2312" w:cs="宋体"/>
                <w:bCs/>
                <w:sz w:val="24"/>
                <w:lang w:eastAsia="zh-CN"/>
              </w:rPr>
              <w:t>：</w:t>
            </w:r>
            <w:r>
              <w:rPr>
                <w:rFonts w:hint="eastAsia" w:ascii="仿宋_GB2312" w:hAnsi="宋体" w:eastAsia="仿宋_GB2312" w:cs="宋体"/>
                <w:bCs/>
                <w:sz w:val="24"/>
                <w:lang w:val="en-US" w:eastAsia="zh-CN"/>
              </w:rPr>
              <w:t>4.5万，</w:t>
            </w:r>
            <w:r>
              <w:rPr>
                <w:rFonts w:hint="eastAsia" w:ascii="仿宋_GB2312" w:hAnsi="宋体" w:eastAsia="仿宋_GB2312" w:cs="宋体"/>
                <w:bCs/>
                <w:sz w:val="24"/>
              </w:rPr>
              <w:t>主要用于全区5个乡镇纪检工作开展。</w:t>
            </w:r>
          </w:p>
          <w:p>
            <w:pPr>
              <w:spacing w:line="560" w:lineRule="exact"/>
              <w:ind w:firstLine="480" w:firstLineChars="200"/>
              <w:rPr>
                <w:rFonts w:hint="eastAsia" w:ascii="仿宋" w:hAnsi="仿宋" w:eastAsia="仿宋_GB2312" w:cs="宋体"/>
                <w:kern w:val="0"/>
                <w:sz w:val="30"/>
                <w:szCs w:val="30"/>
                <w:lang w:eastAsia="zh-CN"/>
              </w:rPr>
            </w:pPr>
            <w:r>
              <w:rPr>
                <w:rFonts w:hint="eastAsia" w:ascii="仿宋_GB2312" w:hAnsi="宋体" w:eastAsia="仿宋_GB2312" w:cs="宋体"/>
                <w:bCs/>
                <w:sz w:val="24"/>
                <w:lang w:val="en-US" w:eastAsia="zh-CN"/>
              </w:rPr>
              <w:t>2、</w:t>
            </w:r>
            <w:r>
              <w:rPr>
                <w:rFonts w:hint="eastAsia" w:ascii="仿宋_GB2312" w:hAnsi="宋体" w:eastAsia="仿宋_GB2312" w:cs="宋体"/>
                <w:bCs/>
                <w:sz w:val="24"/>
              </w:rPr>
              <w:t>党纪条规制度汇编</w:t>
            </w:r>
            <w:r>
              <w:rPr>
                <w:rFonts w:hint="eastAsia" w:ascii="仿宋_GB2312" w:hAnsi="宋体" w:eastAsia="仿宋_GB2312" w:cs="宋体"/>
                <w:bCs/>
                <w:sz w:val="24"/>
                <w:lang w:eastAsia="zh-CN"/>
              </w:rPr>
              <w:t>：</w:t>
            </w:r>
            <w:r>
              <w:rPr>
                <w:rFonts w:hint="eastAsia" w:ascii="仿宋_GB2312" w:hAnsi="宋体" w:eastAsia="仿宋_GB2312" w:cs="宋体"/>
                <w:bCs/>
                <w:sz w:val="24"/>
                <w:lang w:val="en-US" w:eastAsia="zh-CN"/>
              </w:rPr>
              <w:t>4.13万，</w:t>
            </w:r>
            <w:r>
              <w:rPr>
                <w:rFonts w:hint="eastAsia" w:ascii="仿宋_GB2312" w:hAnsi="宋体" w:eastAsia="仿宋_GB2312" w:cs="宋体"/>
                <w:bCs/>
                <w:sz w:val="24"/>
              </w:rPr>
              <w:t>主要用于宣传《中华人民共和国监察法》、廉政文化宣传资料、党纪条规制度的汇编、党纪条规制度宣传展板、宣传标语横幅制作。</w:t>
            </w:r>
          </w:p>
          <w:p>
            <w:pPr>
              <w:numPr>
                <w:ilvl w:val="0"/>
                <w:numId w:val="0"/>
              </w:numPr>
              <w:spacing w:line="480" w:lineRule="exact"/>
              <w:ind w:firstLine="480"/>
              <w:rPr>
                <w:rFonts w:hint="default" w:ascii="仿宋_GB2312" w:hAnsi="宋体" w:eastAsia="仿宋_GB2312" w:cs="宋体"/>
                <w:bCs/>
                <w:sz w:val="24"/>
                <w:lang w:val="en-US" w:eastAsia="zh-CN"/>
              </w:rPr>
            </w:pPr>
            <w:r>
              <w:rPr>
                <w:rFonts w:hint="eastAsia" w:ascii="仿宋" w:hAnsi="仿宋" w:eastAsia="仿宋" w:cs="宋体"/>
                <w:kern w:val="0"/>
                <w:sz w:val="30"/>
                <w:szCs w:val="30"/>
                <w:lang w:val="en-US" w:eastAsia="zh-CN"/>
              </w:rPr>
              <w:t>3、</w:t>
            </w:r>
            <w:r>
              <w:rPr>
                <w:rFonts w:hint="eastAsia" w:ascii="仿宋_GB2312" w:hAnsi="宋体" w:eastAsia="仿宋_GB2312" w:cs="宋体"/>
                <w:bCs/>
                <w:sz w:val="24"/>
                <w:lang w:val="en-US" w:eastAsia="zh-CN"/>
              </w:rPr>
              <w:t>群情通开发及维护年费：5.5万，便于干部处理群众诉求，实现上情下达和下情上达的互联互动，让人民群众足不出户了解政策、解决问题。</w:t>
            </w:r>
          </w:p>
          <w:p>
            <w:pPr>
              <w:spacing w:line="480" w:lineRule="exact"/>
              <w:ind w:firstLine="480" w:firstLineChars="200"/>
              <w:rPr>
                <w:rFonts w:hint="eastAsia" w:ascii="黑体" w:hAnsi="黑体" w:eastAsia="黑体" w:cs="黑体"/>
                <w:bCs/>
                <w:sz w:val="24"/>
              </w:rPr>
            </w:pPr>
            <w:r>
              <w:rPr>
                <w:rFonts w:hint="eastAsia" w:ascii="黑体" w:hAnsi="黑体" w:eastAsia="黑体" w:cs="黑体"/>
                <w:bCs/>
                <w:sz w:val="24"/>
              </w:rPr>
              <w:t>三、政府性基金预算支出情况</w:t>
            </w:r>
          </w:p>
          <w:p>
            <w:pPr>
              <w:spacing w:line="560" w:lineRule="exact"/>
              <w:ind w:firstLine="480" w:firstLineChars="200"/>
              <w:rPr>
                <w:rFonts w:hint="eastAsia" w:ascii="仿宋_GB2312" w:hAnsi="宋体" w:eastAsia="仿宋_GB2312" w:cs="宋体"/>
                <w:bCs/>
                <w:sz w:val="24"/>
                <w:lang w:val="en-US" w:eastAsia="zh-CN"/>
              </w:rPr>
            </w:pPr>
            <w:r>
              <w:rPr>
                <w:rFonts w:hint="eastAsia" w:ascii="仿宋_GB2312" w:hAnsi="宋体" w:eastAsia="仿宋_GB2312" w:cs="宋体"/>
                <w:bCs/>
                <w:sz w:val="24"/>
                <w:lang w:val="en-US" w:eastAsia="zh-CN"/>
              </w:rPr>
              <w:t>无</w:t>
            </w:r>
          </w:p>
          <w:p>
            <w:pPr>
              <w:numPr>
                <w:ilvl w:val="0"/>
                <w:numId w:val="3"/>
              </w:numPr>
              <w:spacing w:line="480" w:lineRule="exact"/>
              <w:ind w:firstLine="480" w:firstLineChars="200"/>
              <w:rPr>
                <w:rFonts w:hint="eastAsia" w:ascii="黑体" w:hAnsi="黑体" w:eastAsia="黑体" w:cs="黑体"/>
                <w:bCs/>
                <w:sz w:val="24"/>
              </w:rPr>
            </w:pPr>
            <w:r>
              <w:rPr>
                <w:rFonts w:hint="eastAsia" w:ascii="黑体" w:hAnsi="黑体" w:eastAsia="黑体" w:cs="黑体"/>
                <w:bCs/>
                <w:sz w:val="24"/>
              </w:rPr>
              <w:t>国有资本经营预算支出情况</w:t>
            </w:r>
          </w:p>
          <w:p>
            <w:pPr>
              <w:numPr>
                <w:ilvl w:val="0"/>
                <w:numId w:val="0"/>
              </w:numPr>
              <w:spacing w:line="480" w:lineRule="exact"/>
              <w:rPr>
                <w:rFonts w:hint="default" w:ascii="黑体" w:hAnsi="黑体" w:eastAsia="黑体" w:cs="黑体"/>
                <w:bCs/>
                <w:sz w:val="24"/>
                <w:lang w:val="en-US" w:eastAsia="zh-CN"/>
              </w:rPr>
            </w:pPr>
            <w:r>
              <w:rPr>
                <w:rFonts w:hint="eastAsia" w:ascii="黑体" w:hAnsi="黑体" w:eastAsia="黑体" w:cs="黑体"/>
                <w:bCs/>
                <w:sz w:val="24"/>
                <w:lang w:val="en-US" w:eastAsia="zh-CN"/>
              </w:rPr>
              <w:t xml:space="preserve">    </w:t>
            </w:r>
            <w:r>
              <w:rPr>
                <w:rFonts w:hint="eastAsia" w:ascii="仿宋_GB2312" w:hAnsi="宋体" w:eastAsia="仿宋_GB2312" w:cs="宋体"/>
                <w:bCs/>
                <w:sz w:val="24"/>
                <w:lang w:val="en-US" w:eastAsia="zh-CN"/>
              </w:rPr>
              <w:t>无</w:t>
            </w:r>
          </w:p>
          <w:p>
            <w:pPr>
              <w:numPr>
                <w:ilvl w:val="0"/>
                <w:numId w:val="3"/>
              </w:numPr>
              <w:spacing w:line="480" w:lineRule="exact"/>
              <w:ind w:left="0" w:leftChars="0" w:firstLine="480" w:firstLineChars="200"/>
              <w:rPr>
                <w:rFonts w:hint="eastAsia" w:ascii="黑体" w:hAnsi="黑体" w:eastAsia="黑体" w:cs="黑体"/>
                <w:bCs/>
                <w:sz w:val="24"/>
              </w:rPr>
            </w:pPr>
            <w:r>
              <w:rPr>
                <w:rFonts w:hint="eastAsia" w:ascii="黑体" w:hAnsi="黑体" w:eastAsia="黑体" w:cs="黑体"/>
                <w:bCs/>
                <w:sz w:val="24"/>
              </w:rPr>
              <w:t>社会保险基金预算支出情况</w:t>
            </w:r>
          </w:p>
          <w:p>
            <w:pPr>
              <w:spacing w:line="560" w:lineRule="exact"/>
              <w:ind w:firstLine="480" w:firstLineChars="200"/>
              <w:rPr>
                <w:rFonts w:hint="eastAsia" w:ascii="仿宋_GB2312" w:hAnsi="宋体" w:eastAsia="仿宋_GB2312" w:cs="宋体"/>
                <w:bCs/>
                <w:sz w:val="24"/>
                <w:lang w:val="en-US" w:eastAsia="zh-CN"/>
              </w:rPr>
            </w:pPr>
            <w:r>
              <w:rPr>
                <w:rFonts w:hint="eastAsia" w:ascii="仿宋_GB2312" w:hAnsi="宋体" w:eastAsia="仿宋_GB2312" w:cs="宋体"/>
                <w:bCs/>
                <w:sz w:val="24"/>
                <w:lang w:val="en-US" w:eastAsia="zh-CN"/>
              </w:rPr>
              <w:t>无</w:t>
            </w:r>
          </w:p>
          <w:p>
            <w:pPr>
              <w:spacing w:line="480" w:lineRule="exact"/>
              <w:ind w:firstLine="480" w:firstLineChars="200"/>
              <w:rPr>
                <w:rFonts w:hint="eastAsia" w:ascii="黑体" w:hAnsi="黑体" w:eastAsia="黑体" w:cs="黑体"/>
                <w:bCs/>
                <w:sz w:val="24"/>
              </w:rPr>
            </w:pPr>
            <w:r>
              <w:rPr>
                <w:rFonts w:hint="eastAsia" w:ascii="黑体" w:hAnsi="黑体" w:eastAsia="黑体" w:cs="黑体"/>
                <w:bCs/>
                <w:sz w:val="24"/>
              </w:rPr>
              <w:t>六、部门整体支出绩效情况</w:t>
            </w:r>
          </w:p>
          <w:p>
            <w:pPr>
              <w:spacing w:line="480" w:lineRule="exact"/>
              <w:ind w:firstLine="482" w:firstLineChars="200"/>
              <w:jc w:val="left"/>
              <w:rPr>
                <w:rFonts w:hint="eastAsia" w:ascii="仿宋_GB2312" w:hAnsi="宋体" w:eastAsia="仿宋_GB2312" w:cs="宋体"/>
                <w:color w:val="000000"/>
                <w:sz w:val="24"/>
              </w:rPr>
            </w:pPr>
            <w:r>
              <w:rPr>
                <w:rFonts w:hint="eastAsia" w:ascii="仿宋_GB2312" w:hAnsi="宋体" w:eastAsia="仿宋_GB2312" w:cs="宋体"/>
                <w:b/>
                <w:bCs/>
                <w:color w:val="000000"/>
                <w:sz w:val="24"/>
                <w:lang w:val="en-US" w:eastAsia="zh-CN"/>
              </w:rPr>
              <w:t>担当履职方面。</w:t>
            </w:r>
            <w:r>
              <w:rPr>
                <w:rFonts w:hint="eastAsia" w:ascii="仿宋_GB2312" w:hAnsi="宋体" w:eastAsia="仿宋_GB2312" w:cs="宋体"/>
                <w:color w:val="000000"/>
                <w:sz w:val="24"/>
              </w:rPr>
              <w:t>在党中央和省委、市委的坚强领导下，区委坚决贯彻落实全面从严治党战略方针，认真履行管党治党主体责任，深入推进党风廉政建设和反腐败斗争，带动形成了政治生态新气象。各级纪检监察组织严格按照中央纪委国家监委、省纪委监委、市纪委监委工作部署和区委要求，忠诚履职尽责，主动担当作为，切实发挥监督保障执行、促进完善发展作用，为推进现代化新云溪建设提供了坚强保障。</w:t>
            </w:r>
          </w:p>
          <w:p>
            <w:pPr>
              <w:spacing w:line="480" w:lineRule="exact"/>
              <w:ind w:firstLine="482" w:firstLineChars="200"/>
              <w:jc w:val="left"/>
              <w:rPr>
                <w:rFonts w:hint="default" w:ascii="仿宋_GB2312" w:hAnsi="宋体" w:eastAsia="仿宋_GB2312" w:cs="宋体"/>
                <w:color w:val="000000"/>
                <w:sz w:val="24"/>
                <w:lang w:val="en-US" w:eastAsia="zh-CN"/>
              </w:rPr>
            </w:pPr>
            <w:r>
              <w:rPr>
                <w:rFonts w:hint="eastAsia" w:ascii="仿宋_GB2312" w:hAnsi="宋体" w:eastAsia="仿宋_GB2312" w:cs="宋体"/>
                <w:b/>
                <w:bCs/>
                <w:color w:val="000000"/>
                <w:sz w:val="24"/>
                <w:lang w:val="en-US" w:eastAsia="zh-CN"/>
              </w:rPr>
              <w:t>预算执行方面。</w:t>
            </w:r>
            <w:r>
              <w:rPr>
                <w:rFonts w:hint="eastAsia" w:ascii="仿宋_GB2312" w:hAnsi="宋体" w:eastAsia="仿宋_GB2312" w:cs="宋体"/>
                <w:color w:val="000000"/>
                <w:sz w:val="24"/>
                <w:lang w:val="en-US" w:eastAsia="zh-CN"/>
              </w:rPr>
              <w:t>因2021年新招录公务员5名，导致单位整体人员经费有所增加，按照绩效目标设定的要求，项目执行过程中，在保证项目质量安全的前提下，单位合理控制成本，比预期支出有所减少，“三公经费”支出总额控制得当。</w:t>
            </w:r>
          </w:p>
          <w:p>
            <w:pPr>
              <w:spacing w:line="480" w:lineRule="exact"/>
              <w:ind w:firstLine="482" w:firstLineChars="200"/>
              <w:jc w:val="left"/>
              <w:rPr>
                <w:rFonts w:hint="eastAsia" w:ascii="仿宋_GB2312" w:hAnsi="宋体" w:eastAsia="仿宋_GB2312" w:cs="宋体"/>
                <w:color w:val="000000"/>
                <w:sz w:val="24"/>
              </w:rPr>
            </w:pPr>
            <w:r>
              <w:rPr>
                <w:rFonts w:hint="eastAsia" w:ascii="仿宋_GB2312" w:hAnsi="宋体" w:eastAsia="仿宋_GB2312" w:cs="宋体"/>
                <w:b/>
                <w:bCs/>
                <w:color w:val="000000"/>
                <w:sz w:val="24"/>
              </w:rPr>
              <w:t>预算管理方面。</w:t>
            </w:r>
            <w:r>
              <w:rPr>
                <w:rFonts w:hint="eastAsia" w:ascii="仿宋_GB2312" w:hAnsi="宋体" w:eastAsia="仿宋_GB2312" w:cs="宋体"/>
                <w:color w:val="000000"/>
                <w:sz w:val="24"/>
              </w:rPr>
              <w:t>严格预算支出管理。在支出预算编制上，人员经费按照编制身份及职务职级进行编制，公用经费分类分档，按定额编制；在支出预算执行上，根据“总量控制、计划管理”的要求从严控制行政经费，严格按照预算科目和相关财经法律法规使用财政资金，整体支出体现了规范化、制度化。</w:t>
            </w:r>
          </w:p>
          <w:p>
            <w:pPr>
              <w:spacing w:line="480" w:lineRule="exact"/>
              <w:ind w:firstLine="482" w:firstLineChars="200"/>
              <w:jc w:val="left"/>
              <w:rPr>
                <w:rFonts w:hint="eastAsia" w:ascii="仿宋_GB2312" w:hAnsi="宋体" w:eastAsia="仿宋_GB2312" w:cs="宋体"/>
                <w:color w:val="000000"/>
                <w:sz w:val="24"/>
              </w:rPr>
            </w:pPr>
            <w:r>
              <w:rPr>
                <w:rFonts w:hint="eastAsia" w:ascii="仿宋_GB2312" w:hAnsi="宋体" w:eastAsia="仿宋_GB2312" w:cs="宋体"/>
                <w:b/>
                <w:bCs/>
                <w:color w:val="000000"/>
                <w:sz w:val="24"/>
              </w:rPr>
              <w:t>资产管理</w:t>
            </w:r>
            <w:r>
              <w:rPr>
                <w:rFonts w:hint="eastAsia" w:ascii="仿宋_GB2312" w:hAnsi="宋体" w:eastAsia="仿宋_GB2312" w:cs="宋体"/>
                <w:b/>
                <w:bCs/>
                <w:color w:val="000000"/>
                <w:sz w:val="24"/>
                <w:lang w:val="en-US" w:eastAsia="zh-CN"/>
              </w:rPr>
              <w:t>方面</w:t>
            </w:r>
            <w:r>
              <w:rPr>
                <w:rFonts w:hint="eastAsia" w:ascii="仿宋_GB2312" w:hAnsi="宋体" w:eastAsia="仿宋_GB2312" w:cs="宋体"/>
                <w:b/>
                <w:bCs/>
                <w:color w:val="000000"/>
                <w:sz w:val="24"/>
              </w:rPr>
              <w:t>。</w:t>
            </w:r>
            <w:r>
              <w:rPr>
                <w:rFonts w:hint="eastAsia" w:ascii="仿宋_GB2312" w:hAnsi="宋体" w:eastAsia="仿宋_GB2312" w:cs="宋体"/>
                <w:color w:val="000000"/>
                <w:sz w:val="24"/>
              </w:rPr>
              <w:t>依据《行政事业单位国有资产管理办法》规定，结合我单位实际制定了相应的管理办法；资产配置、管理、处置严格按照政府采购及资产管理办法程序办理，确保国有资产完整、安全。</w:t>
            </w:r>
          </w:p>
          <w:p>
            <w:pPr>
              <w:pStyle w:val="6"/>
              <w:spacing w:line="480" w:lineRule="exact"/>
              <w:ind w:firstLine="480"/>
              <w:jc w:val="left"/>
              <w:rPr>
                <w:rFonts w:hint="eastAsia" w:ascii="黑体" w:hAnsi="黑体" w:eastAsia="黑体" w:cs="黑体"/>
                <w:sz w:val="24"/>
                <w:szCs w:val="24"/>
              </w:rPr>
            </w:pPr>
            <w:r>
              <w:rPr>
                <w:rFonts w:hint="eastAsia" w:ascii="黑体" w:hAnsi="黑体" w:eastAsia="黑体" w:cs="黑体"/>
                <w:sz w:val="24"/>
                <w:szCs w:val="24"/>
              </w:rPr>
              <w:t>七、存在的问题及原因分析</w:t>
            </w:r>
          </w:p>
          <w:p>
            <w:pPr>
              <w:pStyle w:val="6"/>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宋体" w:eastAsia="仿宋_GB2312" w:cs="宋体"/>
                <w:sz w:val="24"/>
              </w:rPr>
            </w:pPr>
            <w:r>
              <w:rPr>
                <w:rFonts w:hint="eastAsia" w:ascii="仿宋_GB2312" w:hAnsi="宋体" w:eastAsia="仿宋_GB2312" w:cs="宋体"/>
                <w:color w:val="000000"/>
                <w:kern w:val="2"/>
                <w:sz w:val="24"/>
                <w:szCs w:val="24"/>
                <w:lang w:val="en-US" w:eastAsia="zh-CN" w:bidi="ar-SA"/>
              </w:rPr>
              <w:t>预算编制有待更完整、科学。部分预算科目支出的预算与实际支出存在差异。</w:t>
            </w:r>
          </w:p>
          <w:p>
            <w:pPr>
              <w:numPr>
                <w:ilvl w:val="0"/>
                <w:numId w:val="4"/>
              </w:numPr>
              <w:spacing w:line="480" w:lineRule="exact"/>
              <w:ind w:firstLine="480" w:firstLineChars="200"/>
              <w:jc w:val="left"/>
              <w:rPr>
                <w:rFonts w:hint="eastAsia" w:ascii="黑体" w:hAnsi="黑体" w:eastAsia="黑体" w:cs="黑体"/>
                <w:sz w:val="24"/>
              </w:rPr>
            </w:pPr>
            <w:r>
              <w:rPr>
                <w:rFonts w:hint="eastAsia" w:ascii="黑体" w:hAnsi="黑体" w:eastAsia="黑体" w:cs="黑体"/>
                <w:sz w:val="24"/>
              </w:rPr>
              <w:t>下一步改进措施</w:t>
            </w:r>
          </w:p>
          <w:p>
            <w:pPr>
              <w:numPr>
                <w:ilvl w:val="0"/>
                <w:numId w:val="0"/>
              </w:numPr>
              <w:spacing w:line="480" w:lineRule="exact"/>
              <w:jc w:val="left"/>
              <w:rPr>
                <w:rFonts w:hint="default" w:ascii="仿宋_GB2312" w:hAnsi="宋体" w:eastAsia="仿宋_GB2312" w:cs="宋体"/>
                <w:color w:val="000000"/>
                <w:sz w:val="24"/>
                <w:lang w:val="en-US" w:eastAsia="zh-CN"/>
              </w:rPr>
            </w:pPr>
            <w:r>
              <w:rPr>
                <w:rFonts w:hint="eastAsia" w:ascii="黑体" w:hAnsi="黑体" w:eastAsia="黑体" w:cs="黑体"/>
                <w:sz w:val="24"/>
                <w:lang w:val="en-US" w:eastAsia="zh-CN"/>
              </w:rPr>
              <w:t xml:space="preserve">    </w:t>
            </w:r>
            <w:r>
              <w:rPr>
                <w:rFonts w:hint="eastAsia" w:ascii="仿宋_GB2312" w:hAnsi="宋体" w:eastAsia="仿宋_GB2312" w:cs="宋体"/>
                <w:color w:val="000000"/>
                <w:sz w:val="24"/>
                <w:lang w:val="en-US" w:eastAsia="zh-CN"/>
              </w:rPr>
              <w:t>细化预算编制。进一步加强预算管理意识，严格按照预算编制的相关制度和要求，本着“勤俭节约、保障运转”的原则进行预算的编制，编制范围和金额尽可能的全面、准确，进一步提高预算编制的完整性、科学性、合理性。</w:t>
            </w:r>
          </w:p>
          <w:p>
            <w:pPr>
              <w:numPr>
                <w:ilvl w:val="0"/>
                <w:numId w:val="4"/>
              </w:numPr>
              <w:spacing w:line="480" w:lineRule="exact"/>
              <w:ind w:left="0" w:leftChars="0" w:firstLine="480" w:firstLineChars="200"/>
              <w:jc w:val="left"/>
              <w:rPr>
                <w:rFonts w:hint="eastAsia" w:ascii="黑体" w:hAnsi="黑体" w:eastAsia="黑体" w:cs="黑体"/>
                <w:sz w:val="24"/>
              </w:rPr>
            </w:pPr>
            <w:r>
              <w:rPr>
                <w:rFonts w:hint="eastAsia" w:ascii="黑体" w:hAnsi="黑体" w:eastAsia="黑体" w:cs="黑体"/>
                <w:sz w:val="24"/>
              </w:rPr>
              <w:t>其他需要说明的情况</w:t>
            </w:r>
          </w:p>
          <w:p>
            <w:pPr>
              <w:numPr>
                <w:ilvl w:val="0"/>
                <w:numId w:val="0"/>
              </w:numPr>
              <w:spacing w:line="480" w:lineRule="exact"/>
              <w:ind w:firstLine="480" w:firstLineChars="200"/>
              <w:jc w:val="left"/>
              <w:rPr>
                <w:rFonts w:hint="eastAsia" w:ascii="黑体" w:hAnsi="黑体" w:eastAsia="黑体" w:cs="黑体"/>
                <w:sz w:val="24"/>
              </w:rPr>
            </w:pPr>
            <w:r>
              <w:rPr>
                <w:rFonts w:hint="eastAsia" w:ascii="仿宋_GB2312" w:hAnsi="宋体" w:eastAsia="仿宋_GB2312" w:cs="宋体"/>
                <w:color w:val="000000"/>
                <w:kern w:val="2"/>
                <w:sz w:val="24"/>
                <w:szCs w:val="24"/>
                <w:lang w:val="en-US" w:eastAsia="zh-CN" w:bidi="ar-SA"/>
              </w:rPr>
              <w:t>无</w:t>
            </w:r>
          </w:p>
        </w:tc>
      </w:tr>
    </w:tbl>
    <w:p/>
    <w:p/>
    <w:p/>
    <w:p>
      <w:pPr>
        <w:spacing w:line="420" w:lineRule="exact"/>
        <w:rPr>
          <w:rFonts w:hint="eastAsia" w:ascii="黑体" w:hAnsi="黑体" w:eastAsia="黑体"/>
          <w:sz w:val="32"/>
          <w:szCs w:val="32"/>
        </w:rPr>
      </w:pPr>
    </w:p>
    <w:p>
      <w:pPr>
        <w:spacing w:after="156" w:afterLines="50" w:line="500" w:lineRule="exact"/>
        <w:jc w:val="center"/>
        <w:rPr>
          <w:rFonts w:hint="eastAsia" w:ascii="方正小标宋简体" w:eastAsia="方正小标宋简体"/>
          <w:sz w:val="38"/>
          <w:szCs w:val="38"/>
        </w:rPr>
      </w:pPr>
    </w:p>
    <w:p>
      <w:pPr>
        <w:spacing w:after="156" w:afterLines="50" w:line="500" w:lineRule="exact"/>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3"/>
        <w:tblW w:w="9835" w:type="dxa"/>
        <w:jc w:val="center"/>
        <w:tblLayout w:type="fixed"/>
        <w:tblCellMar>
          <w:top w:w="0" w:type="dxa"/>
          <w:left w:w="108" w:type="dxa"/>
          <w:bottom w:w="0" w:type="dxa"/>
          <w:right w:w="108" w:type="dxa"/>
        </w:tblCellMar>
      </w:tblPr>
      <w:tblGrid>
        <w:gridCol w:w="976"/>
        <w:gridCol w:w="939"/>
        <w:gridCol w:w="1345"/>
        <w:gridCol w:w="4215"/>
        <w:gridCol w:w="582"/>
        <w:gridCol w:w="658"/>
        <w:gridCol w:w="112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二级指标</w:t>
            </w:r>
          </w:p>
        </w:tc>
        <w:tc>
          <w:tcPr>
            <w:tcW w:w="1345"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三级指标</w:t>
            </w:r>
          </w:p>
        </w:tc>
        <w:tc>
          <w:tcPr>
            <w:tcW w:w="4215"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评分标准</w:t>
            </w:r>
          </w:p>
        </w:tc>
        <w:tc>
          <w:tcPr>
            <w:tcW w:w="582"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658"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自评得分</w:t>
            </w:r>
          </w:p>
        </w:tc>
        <w:tc>
          <w:tcPr>
            <w:tcW w:w="1120"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120" w:type="dxa"/>
            <w:tcBorders>
              <w:top w:val="nil"/>
              <w:left w:val="nil"/>
              <w:bottom w:val="single" w:color="auto" w:sz="4" w:space="0"/>
              <w:right w:val="single" w:color="auto" w:sz="4" w:space="0"/>
            </w:tcBorders>
            <w:noWrap w:val="0"/>
            <w:vAlign w:val="center"/>
          </w:tcPr>
          <w:p>
            <w:pPr>
              <w:spacing w:line="26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215" w:type="dxa"/>
            <w:tcBorders>
              <w:top w:val="nil"/>
              <w:left w:val="nil"/>
              <w:bottom w:val="single" w:color="auto" w:sz="4" w:space="0"/>
              <w:right w:val="single" w:color="auto" w:sz="4" w:space="0"/>
            </w:tcBorders>
            <w:noWrap w:val="0"/>
            <w:vAlign w:val="center"/>
          </w:tcPr>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120" w:type="dxa"/>
            <w:tcBorders>
              <w:top w:val="nil"/>
              <w:left w:val="nil"/>
              <w:bottom w:val="single" w:color="auto" w:sz="4" w:space="0"/>
              <w:right w:val="single" w:color="auto" w:sz="4" w:space="0"/>
            </w:tcBorders>
            <w:noWrap w:val="0"/>
            <w:vAlign w:val="center"/>
          </w:tcPr>
          <w:p>
            <w:pPr>
              <w:spacing w:line="26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120" w:type="dxa"/>
            <w:tcBorders>
              <w:top w:val="nil"/>
              <w:left w:val="nil"/>
              <w:bottom w:val="single" w:color="auto" w:sz="4" w:space="0"/>
              <w:right w:val="single" w:color="auto" w:sz="4" w:space="0"/>
            </w:tcBorders>
            <w:noWrap w:val="0"/>
            <w:vAlign w:val="center"/>
          </w:tcPr>
          <w:p>
            <w:pPr>
              <w:spacing w:line="26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bookmarkStart w:id="0" w:name="_GoBack"/>
            <w:r>
              <w:rPr>
                <w:rFonts w:hint="eastAsia" w:ascii="仿宋_GB2312" w:hAnsi="宋体" w:eastAsia="仿宋_GB2312" w:cs="宋体"/>
                <w:kern w:val="0"/>
                <w:sz w:val="18"/>
                <w:szCs w:val="18"/>
              </w:rPr>
              <w:t>过  程</w:t>
            </w:r>
          </w:p>
          <w:bookmarkEnd w:id="0"/>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215" w:type="dxa"/>
            <w:tcBorders>
              <w:top w:val="nil"/>
              <w:left w:val="nil"/>
              <w:bottom w:val="single" w:color="auto" w:sz="4" w:space="0"/>
              <w:right w:val="single" w:color="auto" w:sz="4" w:space="0"/>
            </w:tcBorders>
            <w:noWrap w:val="0"/>
            <w:vAlign w:val="center"/>
          </w:tcPr>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春节前下达全部专项资金的50%；6月底前所有专项资金指标全部下达完。</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38"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215" w:type="dxa"/>
            <w:tcBorders>
              <w:top w:val="nil"/>
              <w:left w:val="nil"/>
              <w:bottom w:val="single" w:color="auto" w:sz="4" w:space="0"/>
              <w:right w:val="single" w:color="auto" w:sz="4" w:space="0"/>
            </w:tcBorders>
            <w:noWrap w:val="0"/>
            <w:vAlign w:val="center"/>
          </w:tcPr>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2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215" w:type="dxa"/>
            <w:tcBorders>
              <w:top w:val="nil"/>
              <w:left w:val="nil"/>
              <w:bottom w:val="single" w:color="auto" w:sz="4" w:space="0"/>
              <w:right w:val="single" w:color="auto" w:sz="4" w:space="0"/>
            </w:tcBorders>
            <w:noWrap w:val="0"/>
            <w:vAlign w:val="center"/>
          </w:tcPr>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38"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215" w:type="dxa"/>
            <w:tcBorders>
              <w:top w:val="nil"/>
              <w:left w:val="nil"/>
              <w:bottom w:val="single" w:color="auto" w:sz="4" w:space="0"/>
              <w:right w:val="single" w:color="auto" w:sz="4" w:space="0"/>
            </w:tcBorders>
            <w:noWrap w:val="0"/>
            <w:vAlign w:val="center"/>
          </w:tcPr>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⑤资金使用无截留、挤占、挪用、虚列支出等情况。</w:t>
            </w:r>
          </w:p>
          <w:p>
            <w:pPr>
              <w:spacing w:line="256" w:lineRule="exact"/>
              <w:rPr>
                <w:rFonts w:ascii="仿宋_GB2312" w:hAnsi="宋体" w:eastAsia="仿宋_GB2312" w:cs="宋体"/>
                <w:kern w:val="0"/>
                <w:sz w:val="18"/>
                <w:szCs w:val="18"/>
              </w:rPr>
            </w:pPr>
            <w:r>
              <w:rPr>
                <w:rFonts w:hint="eastAsia" w:ascii="仿宋_GB2312" w:hAnsi="宋体" w:eastAsia="仿宋_GB2312" w:cs="宋体"/>
                <w:spacing w:val="-4"/>
                <w:kern w:val="0"/>
                <w:sz w:val="18"/>
                <w:szCs w:val="18"/>
              </w:rPr>
              <w:t>以上情况每出现一例不符合要求的扣1分，扣完为止。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251"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215" w:type="dxa"/>
            <w:tcBorders>
              <w:top w:val="nil"/>
              <w:left w:val="nil"/>
              <w:bottom w:val="single" w:color="auto" w:sz="4" w:space="0"/>
              <w:right w:val="single" w:color="auto" w:sz="4" w:space="0"/>
            </w:tcBorders>
            <w:shd w:val="clear" w:color="auto" w:fill="auto"/>
            <w:noWrap w:val="0"/>
            <w:vAlign w:val="center"/>
          </w:tcPr>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582"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120"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45"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215" w:type="dxa"/>
            <w:tcBorders>
              <w:top w:val="nil"/>
              <w:left w:val="nil"/>
              <w:bottom w:val="single" w:color="auto" w:sz="4" w:space="0"/>
              <w:right w:val="single" w:color="auto" w:sz="4" w:space="0"/>
            </w:tcBorders>
            <w:shd w:val="clear" w:color="auto" w:fill="auto"/>
            <w:noWrap w:val="0"/>
            <w:vAlign w:val="center"/>
          </w:tcPr>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582"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120"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38"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215" w:type="dxa"/>
            <w:tcBorders>
              <w:top w:val="nil"/>
              <w:left w:val="nil"/>
              <w:bottom w:val="single" w:color="auto" w:sz="4" w:space="0"/>
              <w:right w:val="single" w:color="auto" w:sz="4" w:space="0"/>
            </w:tcBorders>
            <w:shd w:val="clear" w:color="auto" w:fill="auto"/>
            <w:noWrap w:val="0"/>
            <w:vAlign w:val="center"/>
          </w:tcPr>
          <w:p>
            <w:pPr>
              <w:spacing w:line="256"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582"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120"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8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45"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215" w:type="dxa"/>
            <w:tcBorders>
              <w:top w:val="nil"/>
              <w:left w:val="nil"/>
              <w:bottom w:val="single" w:color="auto" w:sz="4" w:space="0"/>
              <w:right w:val="single" w:color="auto" w:sz="4" w:space="0"/>
            </w:tcBorders>
            <w:shd w:val="clear" w:color="auto" w:fill="auto"/>
            <w:noWrap w:val="0"/>
            <w:vAlign w:val="center"/>
          </w:tcPr>
          <w:p>
            <w:pPr>
              <w:spacing w:line="256"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spacing w:line="256"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582"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120"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bl>
    <w:p>
      <w:pPr>
        <w:spacing w:line="14" w:lineRule="exact"/>
      </w:pPr>
    </w:p>
    <w:tbl>
      <w:tblPr>
        <w:tblStyle w:val="3"/>
        <w:tblW w:w="9894" w:type="dxa"/>
        <w:jc w:val="center"/>
        <w:tblLayout w:type="fixed"/>
        <w:tblCellMar>
          <w:top w:w="0" w:type="dxa"/>
          <w:left w:w="108" w:type="dxa"/>
          <w:bottom w:w="0" w:type="dxa"/>
          <w:right w:w="108" w:type="dxa"/>
        </w:tblCellMar>
      </w:tblPr>
      <w:tblGrid>
        <w:gridCol w:w="976"/>
        <w:gridCol w:w="939"/>
        <w:gridCol w:w="1341"/>
        <w:gridCol w:w="4219"/>
        <w:gridCol w:w="619"/>
        <w:gridCol w:w="635"/>
        <w:gridCol w:w="1165"/>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二级指标</w:t>
            </w:r>
          </w:p>
        </w:tc>
        <w:tc>
          <w:tcPr>
            <w:tcW w:w="1341"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三级指标</w:t>
            </w:r>
          </w:p>
        </w:tc>
        <w:tc>
          <w:tcPr>
            <w:tcW w:w="421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635"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自评得分</w:t>
            </w:r>
          </w:p>
        </w:tc>
        <w:tc>
          <w:tcPr>
            <w:tcW w:w="1165"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扣分原因和其他说明</w:t>
            </w:r>
          </w:p>
        </w:tc>
      </w:tr>
      <w:tr>
        <w:tblPrEx>
          <w:tblCellMar>
            <w:top w:w="0" w:type="dxa"/>
            <w:left w:w="108" w:type="dxa"/>
            <w:bottom w:w="0" w:type="dxa"/>
            <w:right w:w="108" w:type="dxa"/>
          </w:tblCellMar>
        </w:tblPrEx>
        <w:trPr>
          <w:trHeight w:val="1890"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41"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21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spacing w:line="26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spacing w:line="26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spacing w:line="26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spacing w:line="26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35"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165"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2"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219" w:type="dxa"/>
            <w:tcBorders>
              <w:top w:val="nil"/>
              <w:left w:val="nil"/>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21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关于做好岳阳市云溪区2021年度综合绩效考核工作的通知》）考核内容设置。</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87"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1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21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219"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16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c>
          <w:tcPr>
            <w:tcW w:w="1341"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c>
          <w:tcPr>
            <w:tcW w:w="4219"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635" w:type="dxa"/>
            <w:tcBorders>
              <w:top w:val="nil"/>
              <w:left w:val="nil"/>
              <w:bottom w:val="single" w:color="auto" w:sz="4" w:space="0"/>
              <w:right w:val="single" w:color="auto" w:sz="4" w:space="0"/>
            </w:tcBorders>
            <w:noWrap w:val="0"/>
            <w:vAlign w:val="center"/>
          </w:tcPr>
          <w:p>
            <w:pPr>
              <w:spacing w:line="26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98</w:t>
            </w:r>
          </w:p>
        </w:tc>
        <w:tc>
          <w:tcPr>
            <w:tcW w:w="116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r>
    </w:tbl>
    <w:p>
      <w:pPr>
        <w:spacing w:line="38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rFonts w:hint="eastAsia"/>
        <w:sz w:val="24"/>
        <w:szCs w:val="24"/>
      </w:rPr>
      <w:t xml:space="preserve">— </w:t>
    </w:r>
    <w:r>
      <w:rPr>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5"/>
        <w:rFonts w:ascii="仿宋_GB2312" w:eastAsia="仿宋_GB2312"/>
        <w:sz w:val="28"/>
        <w:szCs w:val="28"/>
      </w:rPr>
      <w:t>2</w:t>
    </w:r>
    <w:r>
      <w:rPr>
        <w:rFonts w:hint="eastAsia" w:ascii="仿宋_GB2312" w:eastAsia="仿宋_GB2312"/>
        <w:sz w:val="28"/>
        <w:szCs w:val="28"/>
      </w:rPr>
      <w:fldChar w:fldCharType="end"/>
    </w:r>
    <w:r>
      <w:rPr>
        <w:rStyle w:val="5"/>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5338B"/>
    <w:multiLevelType w:val="singleLevel"/>
    <w:tmpl w:val="9395338B"/>
    <w:lvl w:ilvl="0" w:tentative="0">
      <w:start w:val="8"/>
      <w:numFmt w:val="chineseCounting"/>
      <w:suff w:val="nothing"/>
      <w:lvlText w:val="%1、"/>
      <w:lvlJc w:val="left"/>
      <w:rPr>
        <w:rFonts w:hint="eastAsia"/>
      </w:rPr>
    </w:lvl>
  </w:abstractNum>
  <w:abstractNum w:abstractNumId="1">
    <w:nsid w:val="F78B9230"/>
    <w:multiLevelType w:val="singleLevel"/>
    <w:tmpl w:val="F78B9230"/>
    <w:lvl w:ilvl="0" w:tentative="0">
      <w:start w:val="1"/>
      <w:numFmt w:val="decimal"/>
      <w:suff w:val="nothing"/>
      <w:lvlText w:val="%1、"/>
      <w:lvlJc w:val="left"/>
    </w:lvl>
  </w:abstractNum>
  <w:abstractNum w:abstractNumId="2">
    <w:nsid w:val="5E9D338A"/>
    <w:multiLevelType w:val="singleLevel"/>
    <w:tmpl w:val="5E9D338A"/>
    <w:lvl w:ilvl="0" w:tentative="0">
      <w:start w:val="2"/>
      <w:numFmt w:val="chineseCounting"/>
      <w:suff w:val="nothing"/>
      <w:lvlText w:val="（%1）"/>
      <w:lvlJc w:val="left"/>
      <w:rPr>
        <w:rFonts w:hint="eastAsia"/>
      </w:rPr>
    </w:lvl>
  </w:abstractNum>
  <w:abstractNum w:abstractNumId="3">
    <w:nsid w:val="78EF3C2E"/>
    <w:multiLevelType w:val="singleLevel"/>
    <w:tmpl w:val="78EF3C2E"/>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OTgzY2VlMmZiNDA0ZDc1MjE4ZjVlYjNmMTY5MWEifQ=="/>
  </w:docVars>
  <w:rsids>
    <w:rsidRoot w:val="47EB78B3"/>
    <w:rsid w:val="300121C8"/>
    <w:rsid w:val="320272AB"/>
    <w:rsid w:val="47EB78B3"/>
    <w:rsid w:val="519878EE"/>
    <w:rsid w:val="5ABA66BA"/>
    <w:rsid w:val="744736DD"/>
    <w:rsid w:val="791B3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character" w:styleId="5">
    <w:name w:val="page number"/>
    <w:qFormat/>
    <w:uiPriority w:val="0"/>
  </w:style>
  <w:style w:type="paragraph" w:customStyle="1" w:styleId="6">
    <w:name w:val="List Paragraph"/>
    <w:basedOn w:val="1"/>
    <w:qFormat/>
    <w:uiPriority w:val="99"/>
    <w:pPr>
      <w:ind w:firstLine="420" w:firstLineChars="200"/>
    </w:pPr>
    <w:rPr>
      <w:rFonts w:ascii="Calibri" w:hAnsi="Calibri" w:eastAsia="宋体" w:cs="Times New Roman"/>
      <w:szCs w:val="22"/>
    </w:rPr>
  </w:style>
  <w:style w:type="character" w:customStyle="1" w:styleId="7">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5740</Words>
  <Characters>6043</Characters>
  <Lines>0</Lines>
  <Paragraphs>0</Paragraphs>
  <TotalTime>40</TotalTime>
  <ScaleCrop>false</ScaleCrop>
  <LinksUpToDate>false</LinksUpToDate>
  <CharactersWithSpaces>6573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2022-07-14T07:49:00Z</dcterms:created>
  <dc:creator>ww不想学数学</dc:creator>
  <cp:lastModifiedBy>ww不想学数学</cp:lastModifiedBy>
  <cp:lastPrinted>2022-07-18T08:41:57Z</cp:lastPrinted>
  <dcterms:modified xsi:type="dcterms:W3CDTF">2022-07-18T08:48:28Z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43AA4830667943088DA1ED9FB10B9D63</vt:lpwstr>
  </property>
</Properties>
</file>