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p>
    <w:p>
      <w:pPr>
        <w:spacing w:line="600" w:lineRule="exact"/>
        <w:rPr>
          <w:rFonts w:ascii="方正小标宋简体" w:hAnsi="黑体" w:eastAsia="方正小标宋简体" w:cs="黑体"/>
          <w:bCs/>
          <w:sz w:val="44"/>
          <w:szCs w:val="44"/>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2021</w:t>
      </w:r>
      <w:r>
        <w:rPr>
          <w:rFonts w:hint="eastAsia" w:ascii="方正小标宋简体" w:eastAsia="方正小标宋简体"/>
          <w:bCs/>
          <w:sz w:val="44"/>
          <w:szCs w:val="44"/>
        </w:rPr>
        <w:t>年度部门整体支出</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eastAsia="仿宋_GB2312"/>
          <w:b/>
          <w:sz w:val="32"/>
        </w:rPr>
      </w:pPr>
    </w:p>
    <w:p>
      <w:pPr>
        <w:spacing w:line="600" w:lineRule="exact"/>
        <w:rPr>
          <w:rFonts w:eastAsia="仿宋_GB2312"/>
          <w:b/>
          <w:sz w:val="32"/>
        </w:rPr>
      </w:pPr>
      <w:r>
        <w:rPr>
          <w:rFonts w:hint="eastAsia" w:eastAsia="仿宋_GB2312"/>
          <w:b/>
          <w:sz w:val="32"/>
        </w:rPr>
        <w:t xml:space="preserve"> </w:t>
      </w:r>
    </w:p>
    <w:p>
      <w:pPr>
        <w:spacing w:line="600" w:lineRule="exact"/>
        <w:rPr>
          <w:rFonts w:eastAsia="仿宋_GB2312"/>
          <w:b/>
          <w:sz w:val="32"/>
        </w:rPr>
      </w:pPr>
    </w:p>
    <w:p>
      <w:pPr>
        <w:spacing w:line="600" w:lineRule="exact"/>
        <w:rPr>
          <w:rFonts w:eastAsia="仿宋_GB2312"/>
          <w:b/>
          <w:sz w:val="32"/>
        </w:rPr>
      </w:pPr>
    </w:p>
    <w:p>
      <w:pPr>
        <w:spacing w:line="800" w:lineRule="exact"/>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岳阳市云溪区自然资源局        </w:t>
      </w:r>
    </w:p>
    <w:p>
      <w:pPr>
        <w:spacing w:line="800" w:lineRule="exact"/>
        <w:ind w:firstLine="476" w:firstLineChars="150"/>
        <w:rPr>
          <w:rFonts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r>
        <w:rPr>
          <w:rFonts w:hint="eastAsia" w:eastAsia="仿宋_GB2312"/>
          <w:sz w:val="32"/>
          <w:szCs w:val="32"/>
          <w:u w:val="single"/>
          <w:lang w:val="en-US" w:eastAsia="zh-CN"/>
        </w:rPr>
        <w:t>510001</w:t>
      </w:r>
      <w:r>
        <w:rPr>
          <w:rFonts w:hint="eastAsia" w:eastAsia="仿宋_GB2312"/>
          <w:sz w:val="32"/>
          <w:szCs w:val="32"/>
          <w:u w:val="single"/>
        </w:rPr>
        <w:t xml:space="preserve">                              </w:t>
      </w:r>
    </w:p>
    <w:p>
      <w:pPr>
        <w:spacing w:line="800" w:lineRule="exact"/>
        <w:ind w:firstLine="476" w:firstLineChars="150"/>
        <w:rPr>
          <w:rFonts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jc w:val="center"/>
        <w:rPr>
          <w:rFonts w:eastAsia="仿宋_GB2312"/>
          <w:sz w:val="32"/>
        </w:rPr>
      </w:pPr>
      <w:r>
        <w:rPr>
          <w:rFonts w:hint="eastAsia" w:eastAsia="仿宋_GB2312"/>
          <w:sz w:val="32"/>
        </w:rPr>
        <w:t>报告日期：2022年7月</w:t>
      </w:r>
      <w:r>
        <w:rPr>
          <w:rFonts w:hint="eastAsia" w:eastAsia="仿宋_GB2312"/>
          <w:sz w:val="32"/>
          <w:lang w:val="en-US" w:eastAsia="zh-CN"/>
        </w:rPr>
        <w:t>15</w:t>
      </w:r>
      <w:r>
        <w:rPr>
          <w:rFonts w:hint="eastAsia" w:eastAsia="仿宋_GB2312"/>
          <w:sz w:val="32"/>
        </w:rPr>
        <w:t>日</w:t>
      </w:r>
    </w:p>
    <w:p>
      <w:pPr>
        <w:autoSpaceDN w:val="0"/>
        <w:spacing w:line="600" w:lineRule="exact"/>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游正来</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8417300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spacing w:line="320" w:lineRule="exact"/>
              <w:ind w:firstLine="480" w:firstLineChars="200"/>
              <w:rPr>
                <w:rFonts w:ascii="仿宋_GB2312" w:hAnsi="仿宋_GB2312" w:eastAsia="仿宋_GB2312" w:cs="仿宋_GB2312"/>
                <w:color w:val="000000"/>
                <w:sz w:val="24"/>
              </w:rPr>
            </w:pPr>
            <w:r>
              <w:rPr>
                <w:rFonts w:hint="eastAsia" w:ascii="仿宋" w:hAnsi="仿宋" w:eastAsia="仿宋" w:cs="仿宋_GB2312"/>
                <w:bCs/>
                <w:sz w:val="24"/>
              </w:rPr>
              <w:t>根据</w:t>
            </w:r>
            <w:r>
              <w:rPr>
                <w:rFonts w:hint="eastAsia" w:ascii="仿宋_GB2312" w:eastAsia="仿宋_GB2312"/>
                <w:sz w:val="24"/>
              </w:rPr>
              <w:t>岳云办发〔2021〕24号</w:t>
            </w:r>
            <w:r>
              <w:rPr>
                <w:rFonts w:hint="eastAsia" w:ascii="仿宋_GB2312" w:hAnsi="宋体" w:eastAsia="仿宋_GB2312" w:cs="仿宋_GB2312"/>
                <w:bCs/>
                <w:sz w:val="24"/>
              </w:rPr>
              <w:t>《</w:t>
            </w:r>
            <w:r>
              <w:rPr>
                <w:rFonts w:hint="eastAsia" w:ascii="仿宋" w:hAnsi="仿宋" w:eastAsia="仿宋" w:cs="方正小标宋简体"/>
                <w:sz w:val="24"/>
              </w:rPr>
              <w:t>岳阳市云溪区自然资源局职能配置、内设机构和人员编制规定</w:t>
            </w:r>
            <w:r>
              <w:rPr>
                <w:rFonts w:hint="eastAsia" w:ascii="仿宋_GB2312" w:hAnsi="宋体" w:eastAsia="仿宋_GB2312" w:cs="仿宋_GB2312"/>
                <w:bCs/>
                <w:sz w:val="24"/>
              </w:rPr>
              <w:t>》，</w:t>
            </w:r>
            <w:r>
              <w:rPr>
                <w:rFonts w:hint="eastAsia" w:ascii="仿宋_GB2312" w:hAnsi="仿宋_GB2312" w:eastAsia="仿宋_GB2312" w:cs="仿宋_GB2312"/>
                <w:sz w:val="24"/>
              </w:rPr>
              <w:t>岳阳市云溪区自然资源局是区政府工作部门，为正科级。负责贯彻落实党中央、省委和市委关于自然资源工作的方针政策和决策部署，落实区委工作要求，在履行职责过程中坚持和加强党对自然资源工作的集中统一领导。主要职责是：依法履行全民所有土地、矿产、森林、草原、湿地、水等自然资源资产所有者职责和国土空间用途管制职责，负责辖区自然资源调查监测评价，负责辖区自然资源统一确权登记工作，负责辖区自然资源资产有偿使用工作，负责辖区自然资源的合理开发利用，协助建立国土空间规划体系并监督实施，建立健全国土空间用途管制制度，具体实施辖区国有土地使用权收回、集体土地征收、房屋拆迁和安置补偿工作；负责辖区集体土地征收启动公告、征地拆迁安置方案、土地征收公告审核呈报工作。配合制定全区国土空间规划编制计划和近期建设规划，配合制定全区土地利用及储备供应、矿产资源保护利用、基础测绘等年度计划，并上报批准后组织实施；参与城市发展年度建设计划及实施工作。负责统筹全区国土空间生态修复，负责组织实施最严格的耕地保护制度，负责管理地质勘查行业和全区地质工作，负责地质灾害预防和治理，负责矿产资源管理工作，推动自然资源领域科技发展，负责测绘地理信息管理工作，协助辖区国土空间规划实施管理，按权限查处自然资源领域及测绘领域违法案件，负责涉及自然资源、测绘的信访处理、行政诉讼等工作；协助查处国土空间规划领域违法案件，协助涉及空间规划的信访处理、行政复议、行政诉讼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textAlignment w:val="center"/>
              <w:rPr>
                <w:rFonts w:ascii="仿宋" w:hAnsi="仿宋" w:eastAsia="仿宋" w:cs="仿宋_GB2312"/>
                <w:color w:val="000000"/>
                <w:sz w:val="24"/>
              </w:rPr>
            </w:pPr>
            <w:r>
              <w:rPr>
                <w:rFonts w:hint="eastAsia" w:ascii="仿宋_GB2312" w:hAnsi="仿宋_GB2312" w:eastAsia="仿宋_GB2312" w:cs="仿宋_GB2312"/>
                <w:color w:val="000000"/>
                <w:sz w:val="24"/>
              </w:rPr>
              <w:t>任务1：</w:t>
            </w:r>
            <w:r>
              <w:rPr>
                <w:rFonts w:hint="eastAsia" w:ascii="仿宋" w:hAnsi="仿宋" w:eastAsia="仿宋" w:cs="仿宋_GB2312"/>
                <w:color w:val="000000"/>
                <w:sz w:val="24"/>
              </w:rPr>
              <w:t>不断强化政治建设，提升政治和业务能力。</w:t>
            </w:r>
          </w:p>
          <w:p>
            <w:pPr>
              <w:autoSpaceDN w:val="0"/>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任务2：履行党的建设工作责任，落实党风廉政建设。</w:t>
            </w:r>
          </w:p>
          <w:p>
            <w:pPr>
              <w:autoSpaceDN w:val="0"/>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任务3：</w:t>
            </w:r>
            <w:r>
              <w:rPr>
                <w:rFonts w:hint="eastAsia" w:ascii="仿宋" w:hAnsi="仿宋" w:eastAsia="仿宋" w:cs="楷体_GB2312"/>
                <w:sz w:val="24"/>
              </w:rPr>
              <w:t>国土空间规划编制及“三线”划定</w:t>
            </w:r>
            <w:r>
              <w:rPr>
                <w:rFonts w:hint="eastAsia" w:ascii="仿宋" w:hAnsi="仿宋" w:eastAsia="仿宋" w:cs="仿宋_GB2312"/>
                <w:color w:val="000000"/>
                <w:sz w:val="24"/>
              </w:rPr>
              <w:t>。</w:t>
            </w:r>
          </w:p>
          <w:p>
            <w:pPr>
              <w:autoSpaceDN w:val="0"/>
              <w:textAlignment w:val="center"/>
              <w:rPr>
                <w:rFonts w:ascii="仿宋" w:hAnsi="仿宋" w:eastAsia="仿宋" w:cs="仿宋_GB2312"/>
                <w:color w:val="000000"/>
                <w:sz w:val="24"/>
              </w:rPr>
            </w:pPr>
            <w:r>
              <w:rPr>
                <w:rFonts w:hint="eastAsia" w:ascii="仿宋" w:hAnsi="仿宋" w:eastAsia="仿宋" w:cs="仿宋_GB2312"/>
                <w:color w:val="000000"/>
                <w:sz w:val="24"/>
              </w:rPr>
              <w:t>任务4：保护自然资源，加强耕地保护和土地利用。</w:t>
            </w:r>
          </w:p>
          <w:p>
            <w:pPr>
              <w:autoSpaceDN w:val="0"/>
              <w:spacing w:line="320" w:lineRule="exact"/>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任务5：推进“月清三地”，保障项目发展。</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任务6：全心全意服务企业和群众。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59"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仿宋"/>
                <w:color w:val="000000"/>
                <w:szCs w:val="21"/>
              </w:rPr>
              <w:t>落实全面从严治党主体责任，加强党的组织建设，持之以恒抓好党风廉政建设。严格落实耕地保护制度不松懈</w:t>
            </w:r>
            <w:r>
              <w:rPr>
                <w:rFonts w:ascii="仿宋" w:hAnsi="仿宋" w:eastAsia="仿宋" w:cs="仿宋"/>
                <w:color w:val="000000"/>
                <w:szCs w:val="21"/>
              </w:rPr>
              <w:t>,</w:t>
            </w:r>
            <w:r>
              <w:rPr>
                <w:rFonts w:hint="eastAsia" w:ascii="仿宋" w:hAnsi="仿宋" w:eastAsia="仿宋"/>
                <w:szCs w:val="21"/>
              </w:rPr>
              <w:t>持续推进月清“三地”工作，在区委区政府领导的统一调度和大力支持下，加大执法监察、土地出让、土地依法征收等工作力度，取得明显成效，</w:t>
            </w:r>
            <w:r>
              <w:rPr>
                <w:rFonts w:hint="eastAsia" w:ascii="仿宋" w:hAnsi="仿宋" w:eastAsia="仿宋" w:cs="仿宋"/>
                <w:color w:val="000000"/>
                <w:szCs w:val="21"/>
              </w:rPr>
              <w:t>保障了项目用地需求。持续开展矿山整和生态修复工作，关停或退出3个发证矿山。全心全意服务企业群众，落实</w:t>
            </w:r>
            <w:r>
              <w:rPr>
                <w:rFonts w:hint="eastAsia" w:ascii="仿宋" w:hAnsi="仿宋" w:eastAsia="仿宋" w:cs="仿宋_GB2312"/>
                <w:color w:val="000000"/>
                <w:kern w:val="0"/>
                <w:szCs w:val="21"/>
              </w:rPr>
              <w:t>不动产登记“160”改革、工程项目审批领域“170”改革</w:t>
            </w:r>
            <w:r>
              <w:rPr>
                <w:rFonts w:hint="eastAsia" w:ascii="仿宋" w:hAnsi="仿宋" w:eastAsia="仿宋" w:cs="仿宋"/>
                <w:color w:val="000000"/>
                <w:szCs w:val="21"/>
              </w:rPr>
              <w:t>，实施“交房即交证”措施。</w:t>
            </w:r>
            <w:r>
              <w:rPr>
                <w:rFonts w:ascii="仿宋_GB2312" w:hAnsi="仿宋_GB2312" w:eastAsia="仿宋_GB2312" w:cs="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2765.96</w:t>
            </w: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2279.72</w:t>
            </w: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2765.96</w:t>
            </w: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2279.72</w:t>
            </w: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2855.53</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1243.40</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719.70</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523.70</w:t>
            </w: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1612.13</w:t>
            </w: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-89.57</w:t>
            </w: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2855.53</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1243.40</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719.70</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523.70</w:t>
            </w: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1612.13</w:t>
            </w: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-89.57</w:t>
            </w: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6.89</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2.56</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4.33</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6.89</w:t>
            </w: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2.56</w:t>
            </w: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4.33</w:t>
            </w: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6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518.08</w:t>
            </w: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518.08</w:t>
            </w: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518.08</w:t>
            </w: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518.08</w:t>
            </w: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3774" w:type="dxa"/>
            <w:gridSpan w:val="7"/>
            <w:vAlign w:val="center"/>
          </w:tcPr>
          <w:p>
            <w:pPr>
              <w:autoSpaceDN w:val="0"/>
              <w:textAlignment w:val="center"/>
              <w:rPr>
                <w:rFonts w:ascii="仿宋" w:hAnsi="仿宋" w:eastAsia="仿宋" w:cs="仿宋_GB2312"/>
                <w:color w:val="000000"/>
                <w:sz w:val="24"/>
              </w:rPr>
            </w:pPr>
            <w:r>
              <w:rPr>
                <w:rFonts w:hint="eastAsia" w:ascii="仿宋" w:hAnsi="仿宋" w:eastAsia="仿宋" w:cs="仿宋_GB2312"/>
                <w:color w:val="000000"/>
                <w:sz w:val="24"/>
              </w:rPr>
              <w:t>目标1：不断强化政治建设，提升政治和业务能力。</w:t>
            </w:r>
          </w:p>
          <w:p>
            <w:pPr>
              <w:autoSpaceDN w:val="0"/>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目标2：履行党的建设工作责任，落实党风廉政建设。</w:t>
            </w:r>
          </w:p>
          <w:p>
            <w:pPr>
              <w:autoSpaceDN w:val="0"/>
              <w:textAlignment w:val="center"/>
              <w:rPr>
                <w:rFonts w:ascii="仿宋" w:hAnsi="仿宋" w:eastAsia="仿宋" w:cs="仿宋_GB2312"/>
                <w:color w:val="000000"/>
                <w:sz w:val="24"/>
              </w:rPr>
            </w:pPr>
            <w:r>
              <w:rPr>
                <w:rFonts w:hint="eastAsia" w:ascii="仿宋" w:hAnsi="仿宋" w:eastAsia="仿宋" w:cs="仿宋_GB2312"/>
                <w:color w:val="000000"/>
                <w:sz w:val="24"/>
              </w:rPr>
              <w:t>目标3：</w:t>
            </w:r>
            <w:r>
              <w:rPr>
                <w:rFonts w:hint="eastAsia" w:ascii="仿宋" w:hAnsi="仿宋" w:eastAsia="仿宋" w:cs="楷体_GB2312"/>
                <w:sz w:val="24"/>
              </w:rPr>
              <w:t>国土空间规划编制及“三线”划定</w:t>
            </w:r>
            <w:r>
              <w:rPr>
                <w:rFonts w:hint="eastAsia" w:ascii="仿宋" w:hAnsi="仿宋" w:eastAsia="仿宋" w:cs="仿宋_GB2312"/>
                <w:color w:val="000000"/>
                <w:sz w:val="24"/>
              </w:rPr>
              <w:t>。</w:t>
            </w:r>
          </w:p>
          <w:p>
            <w:pPr>
              <w:autoSpaceDN w:val="0"/>
              <w:textAlignment w:val="center"/>
              <w:rPr>
                <w:rFonts w:ascii="仿宋" w:hAnsi="仿宋" w:eastAsia="仿宋" w:cs="仿宋_GB2312"/>
                <w:color w:val="000000"/>
                <w:sz w:val="24"/>
              </w:rPr>
            </w:pPr>
            <w:r>
              <w:rPr>
                <w:rFonts w:hint="eastAsia" w:ascii="仿宋" w:hAnsi="仿宋" w:eastAsia="仿宋" w:cs="仿宋_GB2312"/>
                <w:color w:val="000000"/>
                <w:sz w:val="24"/>
              </w:rPr>
              <w:t>目标4：保护自然资源，加强耕地保护和土地利用。</w:t>
            </w:r>
          </w:p>
          <w:p>
            <w:pPr>
              <w:autoSpaceDN w:val="0"/>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目标5：推进“月清三地”，保障项目发展。</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目标6：全心全意服务企业和群众。</w:t>
            </w:r>
          </w:p>
        </w:tc>
        <w:tc>
          <w:tcPr>
            <w:tcW w:w="4585" w:type="dxa"/>
            <w:gridSpan w:val="9"/>
            <w:vAlign w:val="center"/>
          </w:tcPr>
          <w:p>
            <w:pPr>
              <w:autoSpaceDN w:val="0"/>
              <w:spacing w:line="360" w:lineRule="exact"/>
              <w:textAlignment w:val="center"/>
              <w:rPr>
                <w:rFonts w:hint="eastAsia" w:ascii="仿宋" w:hAnsi="仿宋" w:eastAsia="仿宋" w:cs="仿宋_GB2312"/>
                <w:sz w:val="24"/>
              </w:rPr>
            </w:pPr>
            <w:r>
              <w:rPr>
                <w:rFonts w:hint="eastAsia" w:ascii="仿宋" w:hAnsi="仿宋" w:eastAsia="仿宋" w:cs="方正小标宋简体"/>
                <w:bCs/>
                <w:sz w:val="24"/>
              </w:rPr>
              <w:t>1.认真</w:t>
            </w:r>
            <w:r>
              <w:rPr>
                <w:rFonts w:hint="eastAsia" w:ascii="仿宋" w:hAnsi="仿宋" w:eastAsia="仿宋" w:cs="仿宋_GB2312"/>
                <w:bCs/>
                <w:sz w:val="24"/>
              </w:rPr>
              <w:t>开展</w:t>
            </w:r>
            <w:r>
              <w:rPr>
                <w:rFonts w:hint="eastAsia" w:ascii="仿宋" w:hAnsi="仿宋" w:eastAsia="仿宋"/>
                <w:bCs/>
                <w:sz w:val="24"/>
              </w:rPr>
              <w:t>党史学习教育，</w:t>
            </w:r>
            <w:r>
              <w:rPr>
                <w:rFonts w:hint="eastAsia" w:ascii="仿宋" w:hAnsi="仿宋" w:eastAsia="仿宋" w:cs="方正小标宋简体"/>
                <w:bCs/>
                <w:sz w:val="24"/>
              </w:rPr>
              <w:t>严格落实意识形态工作责任。</w:t>
            </w:r>
            <w:r>
              <w:rPr>
                <w:rFonts w:hint="eastAsia" w:ascii="仿宋" w:hAnsi="仿宋" w:eastAsia="仿宋" w:cs="仿宋_GB2312"/>
                <w:sz w:val="24"/>
              </w:rPr>
              <w:t>做到学史明理、学史增信、学史崇德、学史力行。</w:t>
            </w:r>
            <w:r>
              <w:rPr>
                <w:rFonts w:hint="eastAsia" w:ascii="仿宋" w:hAnsi="仿宋" w:eastAsia="仿宋" w:cs="方正小标宋简体"/>
                <w:sz w:val="24"/>
              </w:rPr>
              <w:t>着重</w:t>
            </w:r>
            <w:r>
              <w:rPr>
                <w:rFonts w:hint="eastAsia" w:ascii="仿宋" w:hAnsi="仿宋" w:eastAsia="仿宋"/>
                <w:sz w:val="24"/>
              </w:rPr>
              <w:t>学习习近平总书记七一重要讲话精神，学习党的十九届五中、六中全会精神；学习省、市、区党代会精神和云溪区镇村负责干部会议精神</w:t>
            </w:r>
            <w:r>
              <w:rPr>
                <w:rFonts w:hint="eastAsia" w:ascii="仿宋" w:hAnsi="仿宋" w:eastAsia="仿宋" w:cs="方正小标宋简体"/>
                <w:sz w:val="24"/>
              </w:rPr>
              <w:t>，增强“四个意识”，坚定“四个自信”，做到“两个维护”，以实际行动捍卫“两个确立”，</w:t>
            </w:r>
            <w:r>
              <w:rPr>
                <w:rFonts w:hint="eastAsia" w:ascii="仿宋" w:hAnsi="仿宋" w:eastAsia="仿宋" w:cs="仿宋_GB2312"/>
                <w:sz w:val="24"/>
              </w:rPr>
              <w:t>抓党的建设、安全生产、文明创建、乡村振兴，以及各项业务工作上始终坚持社会主义意识形态不动摇。</w:t>
            </w:r>
          </w:p>
          <w:p>
            <w:pPr>
              <w:autoSpaceDN w:val="0"/>
              <w:textAlignment w:val="center"/>
              <w:rPr>
                <w:rFonts w:hint="eastAsia" w:ascii="仿宋" w:hAnsi="仿宋" w:eastAsia="仿宋" w:cs="仿宋_GB2312"/>
                <w:kern w:val="0"/>
                <w:sz w:val="24"/>
              </w:rPr>
            </w:pPr>
            <w:r>
              <w:rPr>
                <w:rFonts w:hint="eastAsia" w:ascii="仿宋" w:hAnsi="仿宋" w:eastAsia="仿宋" w:cs="仿宋_GB2312"/>
                <w:color w:val="000000"/>
                <w:sz w:val="24"/>
              </w:rPr>
              <w:t>2. 履行党的建设工作责任，落实党风廉政建设。一</w:t>
            </w:r>
            <w:r>
              <w:rPr>
                <w:rFonts w:hint="eastAsia" w:ascii="仿宋" w:hAnsi="仿宋" w:eastAsia="仿宋"/>
                <w:bCs/>
                <w:sz w:val="24"/>
              </w:rPr>
              <w:t>是按程序做好支部换届。二是</w:t>
            </w:r>
            <w:r>
              <w:rPr>
                <w:rFonts w:hint="eastAsia" w:ascii="仿宋" w:hAnsi="仿宋" w:eastAsia="仿宋"/>
                <w:sz w:val="24"/>
              </w:rPr>
              <w:t>严格落实“三会一课”、民主生活会、党员考评等组织制度，规范党费收缴和党员发展工作，累计开展支部集中学习10次，党组书记、支部书记上党课3次。开展“守护绿水青山，助力乡村振兴”等主题党日活动，增强党员干部凝聚力；积极组织无偿献血、诗朗诵比赛和各类志愿活动，充分发挥党员先锋模范带头作用。</w:t>
            </w:r>
            <w:r>
              <w:rPr>
                <w:rFonts w:hint="eastAsia" w:ascii="仿宋" w:hAnsi="仿宋" w:eastAsia="仿宋"/>
                <w:bCs/>
                <w:sz w:val="24"/>
              </w:rPr>
              <w:t>三是</w:t>
            </w:r>
            <w:r>
              <w:rPr>
                <w:rFonts w:hint="eastAsia" w:ascii="仿宋" w:hAnsi="仿宋" w:eastAsia="仿宋"/>
                <w:sz w:val="24"/>
              </w:rPr>
              <w:t>制定发布《岳阳市自然资源和规划局云溪区分局2021年党风廉政建设责任分解表》，</w:t>
            </w:r>
            <w:r>
              <w:rPr>
                <w:rFonts w:hint="eastAsia" w:ascii="仿宋" w:hAnsi="仿宋" w:eastAsia="仿宋"/>
                <w:bCs/>
                <w:sz w:val="24"/>
              </w:rPr>
              <w:t>常态化开展廉政教育，</w:t>
            </w:r>
            <w:r>
              <w:rPr>
                <w:rFonts w:hint="eastAsia" w:ascii="仿宋" w:hAnsi="仿宋" w:eastAsia="仿宋" w:cs="仿宋_GB2312"/>
                <w:sz w:val="24"/>
              </w:rPr>
              <w:t>严格执行“三重一大”制度，对</w:t>
            </w:r>
            <w:r>
              <w:rPr>
                <w:rFonts w:hint="eastAsia" w:ascii="仿宋" w:hAnsi="仿宋" w:eastAsia="仿宋" w:cs="仿宋_GB2312"/>
                <w:kern w:val="0"/>
                <w:sz w:val="24"/>
              </w:rPr>
              <w:t>档案室建设、信息化建设、机关办公楼维修等重大项目实行全程监督。</w:t>
            </w:r>
          </w:p>
          <w:p>
            <w:pPr>
              <w:spacing w:line="340" w:lineRule="exact"/>
              <w:ind w:firstLine="480" w:firstLineChars="200"/>
              <w:rPr>
                <w:rFonts w:hint="eastAsia" w:ascii="仿宋" w:hAnsi="仿宋" w:eastAsia="仿宋" w:cs="仿宋_GB2312"/>
                <w:color w:val="000000"/>
                <w:kern w:val="0"/>
                <w:sz w:val="24"/>
              </w:rPr>
            </w:pPr>
            <w:r>
              <w:rPr>
                <w:rFonts w:hint="eastAsia" w:ascii="仿宋" w:hAnsi="仿宋" w:eastAsia="仿宋" w:cs="仿宋_GB2312"/>
                <w:kern w:val="0"/>
                <w:sz w:val="24"/>
              </w:rPr>
              <w:t>3.</w:t>
            </w:r>
            <w:r>
              <w:rPr>
                <w:rFonts w:hint="eastAsia" w:ascii="仿宋" w:hAnsi="仿宋" w:eastAsia="仿宋" w:cs="楷体_GB2312"/>
                <w:sz w:val="24"/>
              </w:rPr>
              <w:t xml:space="preserve"> 国土空间规划编制及“三线”划定</w:t>
            </w:r>
            <w:r>
              <w:rPr>
                <w:rFonts w:hint="eastAsia" w:ascii="仿宋" w:hAnsi="仿宋" w:eastAsia="仿宋" w:cs="仿宋_GB2312"/>
                <w:color w:val="000000"/>
                <w:sz w:val="24"/>
              </w:rPr>
              <w:t>。</w:t>
            </w:r>
            <w:r>
              <w:rPr>
                <w:rFonts w:hint="eastAsia" w:ascii="仿宋" w:hAnsi="仿宋" w:eastAsia="仿宋"/>
                <w:sz w:val="24"/>
              </w:rPr>
              <w:t>生态红线划定方面，按照“应保尽保、总体稳定”的原则，确定我区生态红线保护范围1564.69公顷，主要涉及长江沿岸、白泥湖、双花清溪的部分山体。城镇开发边界划定方面。按国土空间规划“统一底图、统一标准、统一规划、统一平台”的工作要求，我区拟定了城镇开发边界划定初步成果，城镇开发边界范围5463.02公顷，其中云溪片区3612.79公顷、道仁矶片区147.5公顷、路口片区1442.32公顷、陆城片区210.91公顷、胥家桥片区49.82公顷。另外，线性工程(含铁水集运煤炭储备项目铁路专线）、己内酰胺厂际外工程、园区扩区范围等也将纳入国土空间总体规划，在城镇开发边界中予以体现。永久性基本农田划定方面。我区完成了永久基本农田初步摸底调查和调入调出地块的核实举证工作。我区永久基本农田保护任务为5200公顷，还须调出不符合要求的2161公顷，但是可用于补划永久基本农田的后备资源不能满足补划的数量要求，需要上级协调减少我区永久基本农田保护任务，以满足石化产业发展需求。</w:t>
            </w:r>
            <w:r>
              <w:rPr>
                <w:rFonts w:hint="eastAsia" w:ascii="仿宋" w:hAnsi="仿宋" w:eastAsia="仿宋" w:cs="仿宋_GB2312"/>
                <w:color w:val="000000"/>
                <w:kern w:val="0"/>
                <w:sz w:val="24"/>
              </w:rPr>
              <w:t>我区共31个村庄规划编制任务，省自然资源厅要求2023年前全部完成。2020年完成了6个村庄规划编制，2021年完成了10个（坪田村、桃李村、八一村、望城村、臣山村、香铺村、钢铁村、白泥湖村、牌楼村、黄皋村），计划在2023年完成全部村庄规划编制任务</w:t>
            </w:r>
          </w:p>
          <w:p>
            <w:pPr>
              <w:spacing w:line="340" w:lineRule="exact"/>
              <w:ind w:firstLine="480" w:firstLineChars="200"/>
              <w:rPr>
                <w:rFonts w:hint="eastAsia" w:ascii="仿宋" w:hAnsi="仿宋" w:eastAsia="仿宋"/>
                <w:sz w:val="24"/>
              </w:rPr>
            </w:pPr>
            <w:r>
              <w:rPr>
                <w:rFonts w:hint="eastAsia" w:ascii="仿宋" w:hAnsi="仿宋" w:eastAsia="仿宋" w:cs="仿宋_GB2312"/>
                <w:color w:val="000000"/>
                <w:kern w:val="0"/>
                <w:sz w:val="24"/>
              </w:rPr>
              <w:t>4.</w:t>
            </w:r>
            <w:r>
              <w:rPr>
                <w:rFonts w:hint="eastAsia" w:ascii="仿宋" w:hAnsi="仿宋" w:eastAsia="仿宋" w:cs="仿宋_GB2312"/>
                <w:color w:val="000000"/>
                <w:sz w:val="24"/>
              </w:rPr>
              <w:t>保护自然资源，加强耕地保护和土地利用。</w:t>
            </w:r>
            <w:r>
              <w:rPr>
                <w:rFonts w:hint="eastAsia" w:ascii="仿宋" w:hAnsi="仿宋" w:eastAsia="仿宋" w:cs="仿宋_GB2312"/>
                <w:color w:val="000000"/>
                <w:kern w:val="0"/>
                <w:sz w:val="24"/>
              </w:rPr>
              <w:t>2021年，完成了耕地保护一张图建设，其成果包括耕地现状分布图、耕地后备资源分布图、永久基本农田分布图、永久基本农田储备区分布图、高标准农田建设图、“两区”分布图和耕地保护利用规划图等7项。加强</w:t>
            </w:r>
            <w:r>
              <w:rPr>
                <w:rFonts w:hint="eastAsia" w:ascii="仿宋" w:hAnsi="仿宋" w:eastAsia="仿宋"/>
                <w:sz w:val="24"/>
              </w:rPr>
              <w:t>日常执法巡查和监督，累计查处</w:t>
            </w:r>
            <w:r>
              <w:rPr>
                <w:rFonts w:hint="eastAsia" w:ascii="仿宋" w:hAnsi="仿宋" w:eastAsia="仿宋" w:cs="仿宋_GB2312"/>
                <w:kern w:val="0"/>
                <w:sz w:val="24"/>
              </w:rPr>
              <w:t>违法用地30个</w:t>
            </w:r>
            <w:r>
              <w:rPr>
                <w:rFonts w:hint="eastAsia" w:ascii="仿宋" w:hAnsi="仿宋" w:eastAsia="仿宋"/>
                <w:sz w:val="24"/>
              </w:rPr>
              <w:t>，面积122亩；召开四次土地储备与出让委员会会议，出让了项目土地11宗，出让面积715亩，出让价款3.2亿元。土地依法征收方面，包括</w:t>
            </w:r>
            <w:r>
              <w:rPr>
                <w:rFonts w:hint="eastAsia" w:ascii="仿宋" w:hAnsi="仿宋" w:eastAsia="仿宋" w:cs="仿宋_GB2312"/>
                <w:kern w:val="0"/>
                <w:sz w:val="24"/>
              </w:rPr>
              <w:t>胥家桥综合物流园在内</w:t>
            </w:r>
            <w:r>
              <w:rPr>
                <w:rFonts w:hint="eastAsia" w:ascii="仿宋" w:hAnsi="仿宋" w:eastAsia="仿宋"/>
                <w:sz w:val="24"/>
              </w:rPr>
              <w:t>的7个项目全部清零，征收土地</w:t>
            </w:r>
            <w:r>
              <w:rPr>
                <w:rFonts w:hint="eastAsia" w:ascii="仿宋" w:hAnsi="仿宋" w:eastAsia="仿宋" w:cs="仿宋_GB2312"/>
                <w:kern w:val="0"/>
                <w:sz w:val="24"/>
              </w:rPr>
              <w:t>6553</w:t>
            </w:r>
            <w:r>
              <w:rPr>
                <w:rFonts w:hint="eastAsia" w:ascii="仿宋" w:hAnsi="仿宋" w:eastAsia="仿宋"/>
                <w:sz w:val="24"/>
              </w:rPr>
              <w:t>亩，拆迁房屋193户，位列全市前茅。</w:t>
            </w:r>
          </w:p>
          <w:p>
            <w:pPr>
              <w:spacing w:line="340" w:lineRule="exact"/>
              <w:ind w:firstLine="480" w:firstLineChars="200"/>
              <w:rPr>
                <w:rFonts w:ascii="仿宋" w:hAnsi="仿宋" w:eastAsia="仿宋" w:cs="楷体_GB2312"/>
                <w:b/>
                <w:sz w:val="24"/>
              </w:rPr>
            </w:pPr>
            <w:r>
              <w:rPr>
                <w:rFonts w:hint="eastAsia" w:ascii="仿宋" w:hAnsi="仿宋" w:eastAsia="仿宋" w:cs="楷体_GB2312"/>
                <w:sz w:val="24"/>
              </w:rPr>
              <w:t>5.</w:t>
            </w:r>
            <w:r>
              <w:rPr>
                <w:rFonts w:hint="eastAsia" w:ascii="仿宋" w:hAnsi="仿宋" w:eastAsia="仿宋" w:cs="仿宋_GB2312"/>
                <w:color w:val="000000"/>
                <w:sz w:val="24"/>
              </w:rPr>
              <w:t xml:space="preserve"> 推进“月清三地”，保障项目发展。</w:t>
            </w:r>
            <w:r>
              <w:rPr>
                <w:rFonts w:hint="eastAsia" w:ascii="仿宋" w:hAnsi="仿宋" w:eastAsia="仿宋" w:cs="仿宋_GB2312"/>
                <w:color w:val="000000"/>
                <w:kern w:val="0"/>
                <w:sz w:val="24"/>
              </w:rPr>
              <w:t>2021年度疑似闲置土地共19宗，项目总面积为1187亩，省厅要求2021年度处置率达到65%以上。2021年已在土地动态监测网中销号18宗，处置率99.59%。月清“三地两矿”工作经提供举证资料并对接省厅，2021年确定违法用地30个，总面积121.85亩，其中占耕地21.85亩，占基本农田8.2亩，通过举证和复耕复绿，现已整改销号27个。今年全</w:t>
            </w:r>
            <w:r>
              <w:rPr>
                <w:rFonts w:hint="eastAsia" w:ascii="仿宋" w:hAnsi="仿宋" w:eastAsia="仿宋" w:cs="仿宋_GB2312"/>
                <w:bCs/>
                <w:sz w:val="24"/>
              </w:rPr>
              <w:t>区3个发证矿山已全部完成关停或退出。</w:t>
            </w:r>
            <w:r>
              <w:rPr>
                <w:rFonts w:hint="eastAsia" w:ascii="仿宋" w:hAnsi="仿宋" w:eastAsia="仿宋" w:cs="仿宋_GB2312"/>
                <w:color w:val="000000"/>
                <w:kern w:val="0"/>
                <w:sz w:val="24"/>
              </w:rPr>
              <w:t>自然资源部今年下发我区53个生态修复图斑。经核实，其中12个在临港新区范围；15个属长江经济带废弃露天矿山生态修复项目；15个已完成修复及转型利用；10个非历史遗留矿山图斑；1处黄茅山盗采点图斑须要开展修复。长江经济带废弃露天矿山生态修复项目已全部完成验收，今年开展的路口镇南太采石场、路口镇郭家冲采石场、云溪街道黄茅山采石场和云溪街道清溪采石场的生态修复工作已基本完成。</w:t>
            </w:r>
          </w:p>
          <w:p>
            <w:pPr>
              <w:spacing w:line="340" w:lineRule="exact"/>
              <w:ind w:firstLine="480" w:firstLineChars="200"/>
              <w:rPr>
                <w:rFonts w:ascii="仿宋" w:hAnsi="仿宋" w:eastAsia="仿宋" w:cs="仿宋_GB2312"/>
                <w:color w:val="000000"/>
                <w:sz w:val="24"/>
              </w:rPr>
            </w:pPr>
            <w:r>
              <w:rPr>
                <w:rFonts w:hint="eastAsia" w:ascii="仿宋" w:hAnsi="仿宋" w:eastAsia="仿宋" w:cs="仿宋_GB2312"/>
                <w:color w:val="000000"/>
                <w:kern w:val="0"/>
                <w:sz w:val="24"/>
              </w:rPr>
              <w:t>6.</w:t>
            </w:r>
            <w:r>
              <w:rPr>
                <w:rFonts w:hint="eastAsia" w:ascii="仿宋" w:hAnsi="仿宋" w:eastAsia="仿宋" w:cs="仿宋_GB2312"/>
                <w:color w:val="000000"/>
                <w:sz w:val="24"/>
              </w:rPr>
              <w:t xml:space="preserve"> 全心全意服务企业和群众。</w:t>
            </w:r>
            <w:r>
              <w:rPr>
                <w:rFonts w:hint="eastAsia" w:ascii="仿宋" w:hAnsi="仿宋" w:eastAsia="仿宋" w:cs="仿宋_GB2312"/>
                <w:color w:val="000000"/>
                <w:kern w:val="0"/>
                <w:sz w:val="24"/>
              </w:rPr>
              <w:t>我局“最多跑一次”改革主要有不动产登记“160”改革、工程项目审批领域“170”改革两项内容。不动产“160”改革中，更新综合登记平台，实现了一个数据库、一套共享应用系统的信息化基础。在全区新建商品房实施“交房即交证”，大汉新城项目一年来累计办理不动产登记543户，走在全市前列。工程审批“170”改革中，工程建设领域“三证一书”发放都已移交至行政审批窗口，实现了行政审批职能应进尽进，联审联办。完成“多测合一”改革，通过利用市级业务办理、监管平台实现了工程建设项目全纳入、全覆盖，在项目立项用地规划许可、工程建设许可、施工许可、竣工验收四个阶段都将测绘事项进行了有效整合。2021年共核发《建设工程规划许可证》30个，包括中石化巴陵石油化工有限公司己内酰胺产业链搬迁与升级转型发展项目、中国石化集团石油商业储备公司岳阳分公司岳阳原油商业储备基地工程项目等项目，发证面积151万平方米，收取城市建设配套费263万元。</w:t>
            </w:r>
            <w:r>
              <w:rPr>
                <w:rFonts w:hint="eastAsia" w:ascii="仿宋" w:hAnsi="仿宋" w:eastAsia="仿宋" w:cs="仿宋_GB2312"/>
                <w:sz w:val="24"/>
              </w:rPr>
              <w:t>2021年，我区房地一体确权登记补充调查户数约2300户，主要新增房屋位于云溪街道槠木桥和镇龙台，现已完成外业调查和内业资料整理。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textAlignment w:val="center"/>
              <w:rPr>
                <w:rFonts w:ascii="仿宋_GB2312" w:hAnsi="仿宋_GB2312" w:eastAsia="仿宋_GB2312" w:cs="仿宋_GB2312"/>
                <w:color w:val="000000"/>
                <w:sz w:val="24"/>
              </w:rPr>
            </w:pPr>
          </w:p>
        </w:tc>
        <w:tc>
          <w:tcPr>
            <w:tcW w:w="1417"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方正小标宋简体"/>
                <w:bCs/>
                <w:sz w:val="24"/>
              </w:rPr>
              <w:t>认真</w:t>
            </w:r>
            <w:r>
              <w:rPr>
                <w:rFonts w:hint="eastAsia" w:ascii="仿宋" w:hAnsi="仿宋" w:eastAsia="仿宋" w:cs="仿宋_GB2312"/>
                <w:bCs/>
                <w:sz w:val="24"/>
              </w:rPr>
              <w:t>开展</w:t>
            </w:r>
            <w:r>
              <w:rPr>
                <w:rFonts w:hint="eastAsia" w:ascii="仿宋" w:hAnsi="仿宋" w:eastAsia="仿宋"/>
                <w:bCs/>
                <w:sz w:val="24"/>
              </w:rPr>
              <w:t>党史学习教育，</w:t>
            </w:r>
            <w:r>
              <w:rPr>
                <w:rFonts w:hint="eastAsia" w:ascii="仿宋" w:hAnsi="仿宋" w:eastAsia="仿宋" w:cs="方正小标宋简体"/>
                <w:bCs/>
                <w:sz w:val="24"/>
              </w:rPr>
              <w:t>严格落实意识形态工作责任。</w:t>
            </w:r>
          </w:p>
        </w:tc>
        <w:tc>
          <w:tcPr>
            <w:tcW w:w="2684" w:type="dxa"/>
            <w:gridSpan w:val="6"/>
            <w:vAlign w:val="center"/>
          </w:tcPr>
          <w:p>
            <w:pPr>
              <w:autoSpaceDN w:val="0"/>
              <w:spacing w:line="280" w:lineRule="exact"/>
              <w:textAlignment w:val="center"/>
              <w:rPr>
                <w:rFonts w:ascii="仿宋_GB2312" w:hAnsi="仿宋_GB2312" w:eastAsia="仿宋_GB2312" w:cs="仿宋_GB2312"/>
                <w:b/>
                <w:color w:val="000000"/>
                <w:sz w:val="24"/>
              </w:rPr>
            </w:pPr>
            <w:r>
              <w:rPr>
                <w:rFonts w:hint="eastAsia" w:ascii="仿宋" w:hAnsi="仿宋" w:eastAsia="仿宋" w:cs="方正小标宋简体"/>
                <w:sz w:val="24"/>
              </w:rPr>
              <w:t>着重</w:t>
            </w:r>
            <w:r>
              <w:rPr>
                <w:rFonts w:hint="eastAsia" w:ascii="仿宋" w:hAnsi="仿宋" w:eastAsia="仿宋"/>
                <w:sz w:val="24"/>
              </w:rPr>
              <w:t>学习习近平总书记七一重要讲话精神，学习党的十九届五中、六中全会精神；学习省、市、区党代会精神和云溪区镇村负责干部会议精神</w:t>
            </w:r>
            <w:r>
              <w:rPr>
                <w:rFonts w:hint="eastAsia" w:ascii="仿宋" w:hAnsi="仿宋" w:eastAsia="仿宋" w:cs="方正小标宋简体"/>
                <w:sz w:val="24"/>
              </w:rPr>
              <w:t>，增强“四个意识”，坚定“四个自信”，做到“两个维护”，以实际行动捍卫“两个确立”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continue"/>
            <w:vAlign w:val="center"/>
          </w:tcPr>
          <w:p>
            <w:pPr>
              <w:spacing w:line="360" w:lineRule="exact"/>
              <w:rPr>
                <w:rFonts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保障项目用地</w:t>
            </w:r>
          </w:p>
        </w:tc>
        <w:tc>
          <w:tcPr>
            <w:tcW w:w="2684" w:type="dxa"/>
            <w:gridSpan w:val="6"/>
            <w:vAlign w:val="center"/>
          </w:tcPr>
          <w:p>
            <w:pPr>
              <w:spacing w:line="340" w:lineRule="exact"/>
              <w:rPr>
                <w:rFonts w:ascii="仿宋_GB2312" w:hAnsi="仿宋_GB2312" w:eastAsia="仿宋_GB2312" w:cs="仿宋_GB2312"/>
                <w:b/>
                <w:color w:val="000000"/>
                <w:sz w:val="24"/>
              </w:rPr>
            </w:pPr>
            <w:r>
              <w:rPr>
                <w:rFonts w:hint="eastAsia" w:ascii="仿宋" w:hAnsi="仿宋" w:eastAsia="仿宋"/>
                <w:sz w:val="24"/>
              </w:rPr>
              <w:t>土地依法征收方面，包括</w:t>
            </w:r>
            <w:r>
              <w:rPr>
                <w:rFonts w:hint="eastAsia" w:ascii="仿宋" w:hAnsi="仿宋" w:eastAsia="仿宋" w:cs="仿宋_GB2312"/>
                <w:kern w:val="0"/>
                <w:sz w:val="24"/>
              </w:rPr>
              <w:t>胥家桥综合物流园在内</w:t>
            </w:r>
            <w:r>
              <w:rPr>
                <w:rFonts w:hint="eastAsia" w:ascii="仿宋" w:hAnsi="仿宋" w:eastAsia="仿宋"/>
                <w:sz w:val="24"/>
              </w:rPr>
              <w:t>的7个项目全部清零，征收土地</w:t>
            </w:r>
            <w:r>
              <w:rPr>
                <w:rFonts w:hint="eastAsia" w:ascii="仿宋" w:hAnsi="仿宋" w:eastAsia="仿宋" w:cs="仿宋_GB2312"/>
                <w:kern w:val="0"/>
                <w:sz w:val="24"/>
              </w:rPr>
              <w:t>6553</w:t>
            </w:r>
            <w:r>
              <w:rPr>
                <w:rFonts w:hint="eastAsia" w:ascii="仿宋" w:hAnsi="仿宋" w:eastAsia="仿宋"/>
                <w:sz w:val="24"/>
              </w:rPr>
              <w:t>亩，拆迁房屋193户，位列全市前茅。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bCs/>
                <w:sz w:val="24"/>
              </w:rPr>
              <w:t>严格执行组织生活制度</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r>
              <w:rPr>
                <w:rFonts w:hint="eastAsia" w:ascii="仿宋" w:hAnsi="仿宋" w:eastAsia="仿宋"/>
                <w:sz w:val="24"/>
              </w:rPr>
              <w:t>累计开展支部集中学习10次，党组书记、支部书记上党课3次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指标2：闲置土地处置率99.59%</w:t>
            </w:r>
          </w:p>
        </w:tc>
        <w:tc>
          <w:tcPr>
            <w:tcW w:w="2684" w:type="dxa"/>
            <w:gridSpan w:val="6"/>
            <w:vAlign w:val="center"/>
          </w:tcPr>
          <w:p>
            <w:pPr>
              <w:autoSpaceDN w:val="0"/>
              <w:spacing w:line="360" w:lineRule="exact"/>
              <w:jc w:val="center"/>
              <w:textAlignment w:val="center"/>
              <w:rPr>
                <w:rFonts w:ascii="仿宋_GB2312" w:hAnsi="仿宋_GB2312" w:eastAsia="仿宋_GB2312" w:cs="仿宋_GB2312"/>
                <w:b/>
                <w:color w:val="000000"/>
                <w:sz w:val="24"/>
              </w:rPr>
            </w:pPr>
            <w:r>
              <w:rPr>
                <w:rFonts w:hint="eastAsia" w:ascii="仿宋" w:hAnsi="仿宋" w:eastAsia="仿宋" w:cs="仿宋_GB2312"/>
                <w:color w:val="000000"/>
                <w:kern w:val="0"/>
                <w:sz w:val="24"/>
              </w:rPr>
              <w:t>2021年度疑似闲置土地共19宗，项目总面积为1187亩，省厅要求2021年度处置率达到65%以上。2021年已在土地动态监测网中销号18宗，处置率99.59%。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指标3:生态修复工作有实效</w:t>
            </w:r>
          </w:p>
        </w:tc>
        <w:tc>
          <w:tcPr>
            <w:tcW w:w="2684" w:type="dxa"/>
            <w:gridSpan w:val="6"/>
            <w:vAlign w:val="center"/>
          </w:tcPr>
          <w:p>
            <w:pPr>
              <w:spacing w:line="340" w:lineRule="exact"/>
              <w:rPr>
                <w:rFonts w:ascii="仿宋" w:hAnsi="仿宋" w:eastAsia="仿宋" w:cs="楷体_GB2312"/>
                <w:b/>
                <w:sz w:val="24"/>
              </w:rPr>
            </w:pPr>
            <w:r>
              <w:rPr>
                <w:rFonts w:hint="eastAsia" w:ascii="仿宋" w:hAnsi="仿宋" w:eastAsia="仿宋" w:cs="仿宋_GB2312"/>
                <w:color w:val="000000"/>
                <w:kern w:val="0"/>
                <w:sz w:val="24"/>
              </w:rPr>
              <w:t>全</w:t>
            </w:r>
            <w:r>
              <w:rPr>
                <w:rFonts w:hint="eastAsia" w:ascii="仿宋" w:hAnsi="仿宋" w:eastAsia="仿宋" w:cs="仿宋_GB2312"/>
                <w:bCs/>
                <w:sz w:val="24"/>
              </w:rPr>
              <w:t>区3个发证矿山已全部完成关停或退出，</w:t>
            </w:r>
            <w:r>
              <w:rPr>
                <w:rFonts w:hint="eastAsia" w:ascii="仿宋" w:hAnsi="仿宋" w:eastAsia="仿宋" w:cs="仿宋_GB2312"/>
                <w:color w:val="000000"/>
                <w:kern w:val="0"/>
                <w:sz w:val="24"/>
              </w:rPr>
              <w:t>已完成15个生态修复图斑的修复及转型利用。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
                <w:color w:val="000000"/>
                <w:sz w:val="24"/>
              </w:rPr>
              <w:t>资金给付及时</w:t>
            </w:r>
          </w:p>
        </w:tc>
        <w:tc>
          <w:tcPr>
            <w:tcW w:w="2684" w:type="dxa"/>
            <w:gridSpan w:val="6"/>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人员工资及项目资金的拨付做到及时兑付，无资金滞压现象。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指标2：实施“交房即交证”</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r>
              <w:rPr>
                <w:rFonts w:hint="eastAsia" w:ascii="仿宋" w:hAnsi="仿宋" w:eastAsia="仿宋" w:cs="仿宋_GB2312"/>
                <w:color w:val="000000"/>
                <w:kern w:val="0"/>
                <w:sz w:val="24"/>
              </w:rPr>
              <w:t>在全区新建商品房实施“交房即交证”，大汉新城项目一年来累计办理不动产登记543户，走在全市前列。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60" w:lineRule="exact"/>
              <w:jc w:val="left"/>
              <w:textAlignment w:val="center"/>
              <w:rPr>
                <w:rFonts w:ascii="仿宋" w:hAnsi="仿宋" w:eastAsia="仿宋" w:cs="仿宋_GB2312"/>
                <w:color w:val="000000"/>
                <w:sz w:val="24"/>
              </w:rPr>
            </w:pPr>
            <w:r>
              <w:rPr>
                <w:rFonts w:hint="eastAsia" w:ascii="仿宋" w:hAnsi="仿宋" w:eastAsia="仿宋" w:cs="仿宋_GB2312"/>
                <w:color w:val="000000"/>
                <w:sz w:val="24"/>
              </w:rPr>
              <w:t>指标1： 人员经费支出数</w:t>
            </w:r>
          </w:p>
        </w:tc>
        <w:tc>
          <w:tcPr>
            <w:tcW w:w="2684" w:type="dxa"/>
            <w:gridSpan w:val="6"/>
            <w:vAlign w:val="center"/>
          </w:tcPr>
          <w:p>
            <w:pPr>
              <w:autoSpaceDN w:val="0"/>
              <w:spacing w:line="36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2021年全局及二级机构共支出人员经费719.70万元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加强执法巡查和监督，违法案件结案率90%以上</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r>
              <w:rPr>
                <w:rFonts w:hint="eastAsia" w:ascii="仿宋" w:hAnsi="仿宋" w:eastAsia="仿宋" w:cs="仿宋_GB2312"/>
                <w:color w:val="000000"/>
                <w:kern w:val="0"/>
                <w:sz w:val="24"/>
              </w:rPr>
              <w:t>加强</w:t>
            </w:r>
            <w:r>
              <w:rPr>
                <w:rFonts w:hint="eastAsia" w:ascii="仿宋" w:hAnsi="仿宋" w:eastAsia="仿宋"/>
                <w:sz w:val="24"/>
              </w:rPr>
              <w:t>日常执法巡查和监督，累计查处</w:t>
            </w:r>
            <w:r>
              <w:rPr>
                <w:rFonts w:hint="eastAsia" w:ascii="仿宋" w:hAnsi="仿宋" w:eastAsia="仿宋" w:cs="仿宋_GB2312"/>
                <w:kern w:val="0"/>
                <w:sz w:val="24"/>
              </w:rPr>
              <w:t>违法用地30个</w:t>
            </w:r>
            <w:r>
              <w:rPr>
                <w:rFonts w:hint="eastAsia" w:ascii="仿宋" w:hAnsi="仿宋" w:eastAsia="仿宋"/>
                <w:sz w:val="24"/>
              </w:rPr>
              <w:t>，面积122亩；召开四次土地储备与出让委员会会议，出让了项目土地11宗，出让面积715亩，出让价款3.2亿元。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指标1：完成行政事业性收费计划</w:t>
            </w:r>
          </w:p>
        </w:tc>
        <w:tc>
          <w:tcPr>
            <w:tcW w:w="2684" w:type="dxa"/>
            <w:gridSpan w:val="6"/>
            <w:vAlign w:val="center"/>
          </w:tcPr>
          <w:p>
            <w:pPr>
              <w:autoSpaceDN w:val="0"/>
              <w:spacing w:line="360" w:lineRule="exact"/>
              <w:jc w:val="center"/>
              <w:textAlignment w:val="center"/>
              <w:rPr>
                <w:rFonts w:ascii="仿宋_GB2312" w:hAnsi="仿宋_GB2312" w:eastAsia="仿宋_GB2312" w:cs="仿宋_GB2312"/>
                <w:b/>
                <w:color w:val="000000"/>
                <w:sz w:val="24"/>
              </w:rPr>
            </w:pPr>
            <w:r>
              <w:rPr>
                <w:rFonts w:hint="eastAsia" w:ascii="仿宋" w:hAnsi="仿宋" w:eastAsia="仿宋" w:cs="仿宋_GB2312"/>
                <w:color w:val="000000"/>
                <w:kern w:val="0"/>
                <w:sz w:val="24"/>
              </w:rPr>
              <w:t>2021年共核发《建设工程规划许可证》30个，发证面积151万平方米，收取城市建设配套费263万元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指标1：废弃露天矿山生态修复取得实效</w:t>
            </w:r>
          </w:p>
        </w:tc>
        <w:tc>
          <w:tcPr>
            <w:tcW w:w="2684" w:type="dxa"/>
            <w:gridSpan w:val="6"/>
            <w:vAlign w:val="center"/>
          </w:tcPr>
          <w:p>
            <w:pPr>
              <w:spacing w:line="320" w:lineRule="exact"/>
              <w:rPr>
                <w:rFonts w:ascii="仿宋_GB2312" w:hAnsi="仿宋_GB2312" w:eastAsia="仿宋_GB2312" w:cs="仿宋_GB2312"/>
                <w:b/>
                <w:color w:val="000000"/>
                <w:sz w:val="24"/>
              </w:rPr>
            </w:pPr>
            <w:r>
              <w:rPr>
                <w:rFonts w:hint="eastAsia" w:ascii="仿宋" w:hAnsi="仿宋" w:eastAsia="仿宋" w:cs="仿宋_GB2312"/>
                <w:color w:val="000000"/>
                <w:kern w:val="0"/>
                <w:sz w:val="24"/>
              </w:rPr>
              <w:t>长江经济带废弃露天矿山生态修复项目已全部完成验收，今年开展的路口镇南太采石场、路口镇郭家冲采石场、云溪街道黄茅山采石场和云溪街道清溪采石场的生态修复工作已基本完成。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60" w:lineRule="exact"/>
              <w:rPr>
                <w:rFonts w:ascii="仿宋_GB2312" w:hAnsi="仿宋_GB2312" w:eastAsia="仿宋_GB2312" w:cs="仿宋_GB2312"/>
                <w:sz w:val="24"/>
              </w:rPr>
            </w:pPr>
          </w:p>
        </w:tc>
        <w:tc>
          <w:tcPr>
            <w:tcW w:w="1549" w:type="dxa"/>
            <w:gridSpan w:val="4"/>
            <w:vMerge w:val="continue"/>
            <w:vAlign w:val="center"/>
          </w:tcPr>
          <w:p>
            <w:pPr>
              <w:autoSpaceDN w:val="0"/>
              <w:spacing w:line="360" w:lineRule="exact"/>
              <w:rPr>
                <w:rFonts w:ascii="仿宋_GB2312" w:hAnsi="仿宋_GB2312" w:eastAsia="仿宋_GB2312" w:cs="仿宋_GB2312"/>
                <w:sz w:val="24"/>
              </w:rPr>
            </w:pPr>
          </w:p>
        </w:tc>
        <w:tc>
          <w:tcPr>
            <w:tcW w:w="141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kern w:val="0"/>
                <w:sz w:val="24"/>
              </w:rPr>
              <w:t>不动产登记“160”改革、工程项目审批领域“170”改革惠民</w:t>
            </w:r>
          </w:p>
        </w:tc>
        <w:tc>
          <w:tcPr>
            <w:tcW w:w="2684" w:type="dxa"/>
            <w:gridSpan w:val="6"/>
            <w:vAlign w:val="center"/>
          </w:tcPr>
          <w:p>
            <w:pPr>
              <w:autoSpaceDN w:val="0"/>
              <w:spacing w:line="360" w:lineRule="exact"/>
              <w:textAlignment w:val="center"/>
              <w:rPr>
                <w:rFonts w:ascii="仿宋_GB2312" w:hAnsi="仿宋_GB2312" w:eastAsia="仿宋_GB2312" w:cs="仿宋_GB2312"/>
                <w:b/>
                <w:color w:val="000000"/>
                <w:sz w:val="24"/>
              </w:rPr>
            </w:pPr>
            <w:r>
              <w:rPr>
                <w:rFonts w:hint="eastAsia" w:ascii="仿宋" w:hAnsi="仿宋" w:eastAsia="仿宋" w:cs="仿宋_GB2312"/>
                <w:color w:val="000000"/>
                <w:kern w:val="0"/>
                <w:sz w:val="24"/>
              </w:rPr>
              <w:t>不动产“160”改革中，更新综合登记平台，实现了一个数据库、一套共享应用系统的信息化基础。工程审批“170”改革中，工程建设领域“三证一书”发放都已移交至行政审批窗口，实现了行政审批职能应进尽进，联审联办。按时按量完成房地一体登记颁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刘卫国</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1479" w:type="dxa"/>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区自然资源局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李溪阳</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区自然资源局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游正来</w:t>
            </w:r>
          </w:p>
        </w:tc>
        <w:tc>
          <w:tcPr>
            <w:tcW w:w="3561"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财务人员</w:t>
            </w: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区自然资源局</w:t>
            </w: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vAlign w:val="center"/>
          </w:tcPr>
          <w:p>
            <w:pPr>
              <w:spacing w:line="360" w:lineRule="exact"/>
              <w:rPr>
                <w:rFonts w:eastAsia="仿宋_GB2312"/>
                <w:sz w:val="24"/>
              </w:rPr>
            </w:pPr>
            <w:r>
              <w:rPr>
                <w:rFonts w:hint="eastAsia" w:eastAsia="仿宋_GB2312"/>
                <w:sz w:val="24"/>
              </w:rPr>
              <w:t>财政部门归口业务股室意见：</w:t>
            </w: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游正来</w:t>
      </w:r>
      <w:r>
        <w:rPr>
          <w:rFonts w:hint="eastAsia" w:eastAsia="仿宋_GB2312" w:cs="仿宋_GB2312"/>
          <w:bCs/>
          <w:sz w:val="28"/>
          <w:szCs w:val="28"/>
        </w:rPr>
        <w:t xml:space="preserve">               </w:t>
      </w:r>
      <w:bookmarkStart w:id="0" w:name="_GoBack"/>
      <w:bookmarkEnd w:id="0"/>
      <w:r>
        <w:rPr>
          <w:rFonts w:hint="eastAsia" w:eastAsia="仿宋_GB2312" w:cs="仿宋_GB2312"/>
          <w:bCs/>
          <w:sz w:val="28"/>
          <w:szCs w:val="28"/>
        </w:rPr>
        <w:t xml:space="preserve">     联系电话：</w:t>
      </w:r>
      <w:r>
        <w:rPr>
          <w:rFonts w:hint="eastAsia" w:eastAsia="仿宋_GB2312" w:cs="仿宋_GB2312"/>
          <w:bCs/>
          <w:sz w:val="28"/>
          <w:szCs w:val="28"/>
          <w:lang w:val="en-US" w:eastAsia="zh-CN"/>
        </w:rPr>
        <w:t>8417300</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480" w:lineRule="exact"/>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80" w:lineRule="exact"/>
              <w:ind w:firstLine="480" w:firstLineChars="200"/>
              <w:rPr>
                <w:rFonts w:ascii="黑体" w:hAnsi="黑体" w:eastAsia="黑体" w:cs="黑体"/>
                <w:bCs/>
                <w:sz w:val="24"/>
              </w:rPr>
            </w:pPr>
            <w:r>
              <w:rPr>
                <w:rFonts w:hint="eastAsia" w:ascii="黑体" w:hAnsi="黑体" w:eastAsia="黑体" w:cs="黑体"/>
                <w:bCs/>
                <w:sz w:val="24"/>
              </w:rPr>
              <w:t>一、部门（单位）概况</w:t>
            </w:r>
          </w:p>
          <w:p>
            <w:pPr>
              <w:spacing w:line="480" w:lineRule="exact"/>
              <w:ind w:firstLine="480" w:firstLineChars="200"/>
              <w:rPr>
                <w:rFonts w:ascii="仿宋_GB2312" w:hAnsi="仿宋_GB2312" w:eastAsia="仿宋_GB2312" w:cs="仿宋_GB2312"/>
                <w:sz w:val="24"/>
              </w:rPr>
            </w:pPr>
            <w:r>
              <w:rPr>
                <w:rFonts w:hint="eastAsia" w:ascii="仿宋" w:hAnsi="仿宋" w:eastAsia="仿宋" w:cs="仿宋_GB2312"/>
                <w:bCs/>
                <w:sz w:val="24"/>
              </w:rPr>
              <w:t>根据</w:t>
            </w:r>
            <w:r>
              <w:rPr>
                <w:rFonts w:hint="eastAsia" w:ascii="仿宋_GB2312" w:eastAsia="仿宋_GB2312"/>
                <w:sz w:val="24"/>
              </w:rPr>
              <w:t>岳云办发〔2021〕24号</w:t>
            </w:r>
            <w:r>
              <w:rPr>
                <w:rFonts w:hint="eastAsia" w:ascii="仿宋_GB2312" w:hAnsi="宋体" w:eastAsia="仿宋_GB2312" w:cs="仿宋_GB2312"/>
                <w:bCs/>
                <w:sz w:val="24"/>
              </w:rPr>
              <w:t>《</w:t>
            </w:r>
            <w:r>
              <w:rPr>
                <w:rFonts w:hint="eastAsia" w:ascii="仿宋" w:hAnsi="仿宋" w:eastAsia="仿宋" w:cs="方正小标宋简体"/>
                <w:sz w:val="24"/>
              </w:rPr>
              <w:t>岳阳市云溪区自然资源局职能配置、内设机构和人员编制规定</w:t>
            </w:r>
            <w:r>
              <w:rPr>
                <w:rFonts w:hint="eastAsia" w:ascii="仿宋_GB2312" w:hAnsi="宋体" w:eastAsia="仿宋_GB2312" w:cs="仿宋_GB2312"/>
                <w:bCs/>
                <w:sz w:val="24"/>
              </w:rPr>
              <w:t>》，</w:t>
            </w:r>
            <w:r>
              <w:rPr>
                <w:rFonts w:hint="eastAsia" w:ascii="仿宋_GB2312" w:hAnsi="仿宋_GB2312" w:eastAsia="仿宋_GB2312" w:cs="仿宋_GB2312"/>
                <w:sz w:val="24"/>
              </w:rPr>
              <w:t>岳阳市云溪区自然资源局是区政府工作部门，为正科级。负责贯彻落实党中央、省委和市委关于自然资源工作的方针政策和决策部署，落实区委工作要求，在履行职责过程中坚持和加强党对自然资源工作的集中统一领导。主要职责是：依法履行全民所有土地、矿产、森林、草原、湿地、水等自然资源资产所有者职责和国土空间用途管制职责，负责辖区自然资源调查监测评价，负责辖区自然资源统一确权登记工作，负责辖区自然资源资产有偿使用工作，负责辖区自然资源的合理开发利用，协助建立国土空间规划体系并监督实施，建立健全国土空间用途管制制度，具体实施辖区国有土地使用权收回、集体土地征收、房屋拆迁和安置补偿工作；负责辖区集体土地征收启动公告、征地拆迁安置方案、土地征收公告审核呈报工作。配合制定全区国土空间规划编制计划和近期建设规划，配合制定全区土地利用及储备供应、矿产资源保护利用、基础测绘等年度计划，并上报批准后组织实施；参与城市发展年度建设计划及实施工作。负责统筹全区国土空间生态修复，负责组织实施最严格的耕地保护制度，负责管理地质勘查行业和全区地质工作，负责地质灾害预防和治理，负责矿产资源管理工作，推动自然资源领域科技发展，负责测绘地理信息管理工作，协助辖区国土空间规划实施管理，按权限查处自然资源领域及测绘领域违法案件，负责涉及自然资源、测绘的信访处理、行政诉讼等工作；协助查处国土空间规划领域违法案件，协助涉及空间规划的信访处理、行政复议、行政诉讼等工作。</w:t>
            </w:r>
          </w:p>
          <w:p>
            <w:pPr>
              <w:spacing w:line="480" w:lineRule="exact"/>
              <w:ind w:firstLine="480" w:firstLineChars="200"/>
              <w:rPr>
                <w:rFonts w:ascii="黑体" w:hAnsi="黑体" w:eastAsia="黑体" w:cs="黑体"/>
                <w:bCs/>
                <w:sz w:val="24"/>
              </w:rPr>
            </w:pPr>
            <w:r>
              <w:rPr>
                <w:rFonts w:hint="eastAsia" w:ascii="黑体" w:hAnsi="黑体" w:eastAsia="黑体" w:cs="黑体"/>
                <w:bCs/>
                <w:sz w:val="24"/>
              </w:rPr>
              <w:t>二、一般公共预算支出情况</w:t>
            </w:r>
          </w:p>
          <w:p>
            <w:pPr>
              <w:spacing w:line="480" w:lineRule="exact"/>
              <w:ind w:firstLine="480" w:firstLineChars="200"/>
              <w:rPr>
                <w:rFonts w:ascii="仿宋_GB2312" w:hAnsi="宋体" w:eastAsia="仿宋_GB2312" w:cs="宋体"/>
                <w:bCs/>
                <w:sz w:val="24"/>
              </w:rPr>
            </w:pPr>
            <w:r>
              <w:rPr>
                <w:rFonts w:hint="eastAsia" w:ascii="仿宋_GB2312" w:hAnsi="宋体" w:eastAsia="仿宋_GB2312" w:cs="宋体"/>
                <w:bCs/>
                <w:sz w:val="24"/>
              </w:rPr>
              <w:t>（一）基本支出情况。2021年基本支出合计1243.40万元，其中人员经费721.85万元、占58.05%，日常公用经费521.55万元，占41.95%。</w:t>
            </w:r>
          </w:p>
          <w:p>
            <w:pPr>
              <w:spacing w:line="480" w:lineRule="exact"/>
              <w:ind w:firstLine="480" w:firstLineChars="200"/>
              <w:rPr>
                <w:rFonts w:ascii="仿宋_GB2312" w:hAnsi="宋体" w:eastAsia="仿宋_GB2312" w:cs="宋体"/>
                <w:bCs/>
                <w:sz w:val="24"/>
              </w:rPr>
            </w:pPr>
            <w:r>
              <w:rPr>
                <w:rFonts w:hint="eastAsia" w:ascii="仿宋_GB2312" w:hAnsi="宋体" w:eastAsia="仿宋_GB2312" w:cs="宋体"/>
                <w:bCs/>
                <w:sz w:val="24"/>
              </w:rPr>
              <w:t>（二）项目支出情况</w:t>
            </w:r>
          </w:p>
          <w:p>
            <w:pPr>
              <w:spacing w:line="480" w:lineRule="exact"/>
              <w:ind w:firstLine="480" w:firstLineChars="200"/>
              <w:rPr>
                <w:rFonts w:hint="eastAsia" w:ascii="仿宋_GB2312" w:hAnsi="宋体" w:eastAsia="仿宋_GB2312" w:cs="宋体"/>
                <w:bCs/>
                <w:sz w:val="24"/>
                <w:lang w:eastAsia="zh-CN"/>
              </w:rPr>
            </w:pPr>
            <w:r>
              <w:rPr>
                <w:rFonts w:hint="eastAsia" w:ascii="仿宋_GB2312" w:hAnsi="宋体" w:eastAsia="仿宋_GB2312" w:cs="宋体"/>
                <w:bCs/>
                <w:sz w:val="24"/>
                <w:lang w:val="en-US" w:eastAsia="zh-CN"/>
              </w:rPr>
              <w:t>2021年度项目支出总额为1612.13万元，其中地质灾害防治项目27.34万元、第三次国土调查项目62.41万元、废弃矿山生态保护修复项目100.55万元、房地一体确权登记项目251.31万元、基准地价制定与更新项目60.91万元、档案馆改造项目209.61万元、耕地占补平衡项目900万元</w:t>
            </w:r>
            <w:r>
              <w:rPr>
                <w:rFonts w:hint="eastAsia" w:ascii="仿宋_GB2312" w:hAnsi="宋体" w:eastAsia="仿宋_GB2312" w:cs="宋体"/>
                <w:bCs/>
                <w:sz w:val="24"/>
              </w:rPr>
              <w:t>。</w:t>
            </w:r>
            <w:r>
              <w:rPr>
                <w:rFonts w:hint="eastAsia" w:ascii="仿宋_GB2312" w:hAnsi="宋体" w:eastAsia="仿宋_GB2312" w:cs="宋体"/>
                <w:bCs/>
                <w:sz w:val="24"/>
                <w:lang w:eastAsia="zh-CN"/>
              </w:rPr>
              <w:t>项目资金按照年初预算全部用于项目，做到专款专用。</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三、政府性基金预算支出情况</w:t>
            </w:r>
          </w:p>
          <w:p>
            <w:pPr>
              <w:spacing w:line="480" w:lineRule="exact"/>
              <w:ind w:firstLine="480" w:firstLineChars="200"/>
              <w:rPr>
                <w:rFonts w:ascii="仿宋" w:hAnsi="仿宋" w:eastAsia="仿宋" w:cs="黑体"/>
                <w:bCs/>
                <w:sz w:val="24"/>
              </w:rPr>
            </w:pPr>
            <w:r>
              <w:rPr>
                <w:rFonts w:hint="eastAsia" w:ascii="仿宋" w:hAnsi="仿宋" w:eastAsia="仿宋" w:cs="黑体"/>
                <w:bCs/>
                <w:sz w:val="24"/>
              </w:rPr>
              <w:t>2021年无政府性基金预算支出</w:t>
            </w:r>
          </w:p>
          <w:p>
            <w:pPr>
              <w:spacing w:line="480" w:lineRule="exact"/>
              <w:ind w:firstLine="480" w:firstLineChars="200"/>
              <w:rPr>
                <w:rFonts w:ascii="黑体" w:hAnsi="黑体" w:eastAsia="黑体" w:cs="黑体"/>
                <w:bCs/>
                <w:sz w:val="24"/>
              </w:rPr>
            </w:pPr>
            <w:r>
              <w:rPr>
                <w:rFonts w:hint="eastAsia" w:ascii="黑体" w:hAnsi="黑体" w:eastAsia="黑体" w:cs="黑体"/>
                <w:bCs/>
                <w:sz w:val="24"/>
              </w:rPr>
              <w:t>四、国有资本经营预算支出情况</w:t>
            </w:r>
          </w:p>
          <w:p>
            <w:pPr>
              <w:spacing w:line="480" w:lineRule="exact"/>
              <w:ind w:firstLine="480" w:firstLineChars="200"/>
              <w:rPr>
                <w:rFonts w:ascii="仿宋" w:hAnsi="仿宋" w:eastAsia="仿宋" w:cs="黑体"/>
                <w:bCs/>
                <w:sz w:val="24"/>
              </w:rPr>
            </w:pPr>
            <w:r>
              <w:rPr>
                <w:rFonts w:hint="eastAsia" w:ascii="仿宋" w:hAnsi="仿宋" w:eastAsia="仿宋" w:cs="黑体"/>
                <w:bCs/>
                <w:sz w:val="24"/>
              </w:rPr>
              <w:t>2021年无国有资本经营预算支出</w:t>
            </w:r>
          </w:p>
          <w:p>
            <w:pPr>
              <w:spacing w:line="480" w:lineRule="exact"/>
              <w:ind w:firstLine="480" w:firstLineChars="200"/>
              <w:rPr>
                <w:rFonts w:ascii="黑体" w:hAnsi="黑体" w:eastAsia="黑体" w:cs="黑体"/>
                <w:bCs/>
                <w:sz w:val="24"/>
              </w:rPr>
            </w:pPr>
            <w:r>
              <w:rPr>
                <w:rFonts w:hint="eastAsia" w:ascii="黑体" w:hAnsi="黑体" w:eastAsia="黑体" w:cs="黑体"/>
                <w:bCs/>
                <w:sz w:val="24"/>
              </w:rPr>
              <w:t>五、社会保险基金预算支出情况</w:t>
            </w:r>
          </w:p>
          <w:p>
            <w:pPr>
              <w:spacing w:line="480" w:lineRule="exact"/>
              <w:ind w:firstLine="480" w:firstLineChars="200"/>
              <w:rPr>
                <w:rFonts w:ascii="仿宋" w:hAnsi="仿宋" w:eastAsia="仿宋" w:cs="黑体"/>
                <w:bCs/>
                <w:sz w:val="24"/>
              </w:rPr>
            </w:pPr>
            <w:r>
              <w:rPr>
                <w:rFonts w:hint="eastAsia" w:ascii="仿宋" w:hAnsi="仿宋" w:eastAsia="仿宋" w:cs="黑体"/>
                <w:bCs/>
                <w:sz w:val="24"/>
              </w:rPr>
              <w:t>2021年无社会保险基金预算支出情况</w:t>
            </w:r>
          </w:p>
          <w:p>
            <w:pPr>
              <w:spacing w:line="480" w:lineRule="exact"/>
              <w:ind w:firstLine="480" w:firstLineChars="200"/>
              <w:rPr>
                <w:rFonts w:ascii="黑体" w:hAnsi="黑体" w:eastAsia="黑体" w:cs="黑体"/>
                <w:bCs/>
                <w:sz w:val="24"/>
              </w:rPr>
            </w:pPr>
            <w:r>
              <w:rPr>
                <w:rFonts w:hint="eastAsia" w:ascii="黑体" w:hAnsi="黑体" w:eastAsia="黑体" w:cs="黑体"/>
                <w:bCs/>
                <w:sz w:val="24"/>
              </w:rPr>
              <w:t>六、部门整体支出绩效情况</w:t>
            </w:r>
          </w:p>
          <w:p>
            <w:pPr>
              <w:pStyle w:val="11"/>
              <w:spacing w:line="480" w:lineRule="exact"/>
              <w:ind w:firstLine="48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2021年度，区自然资源局整体支出2855.53万元，其中基本支出1243.40万元，项目支出1612.13万元，保障了单位的正常运转，确保了各项工作的顺利开展。项目资金做到专款专用，无截留挪用现象。</w:t>
            </w:r>
          </w:p>
          <w:p>
            <w:pPr>
              <w:pStyle w:val="11"/>
              <w:spacing w:line="480" w:lineRule="exact"/>
              <w:ind w:firstLine="480"/>
              <w:jc w:val="left"/>
              <w:rPr>
                <w:rFonts w:ascii="黑体" w:hAnsi="黑体" w:eastAsia="黑体" w:cs="黑体"/>
                <w:sz w:val="24"/>
                <w:szCs w:val="24"/>
              </w:rPr>
            </w:pPr>
            <w:r>
              <w:rPr>
                <w:rFonts w:hint="eastAsia" w:ascii="黑体" w:hAnsi="黑体" w:eastAsia="黑体" w:cs="黑体"/>
                <w:sz w:val="24"/>
                <w:szCs w:val="24"/>
              </w:rPr>
              <w:t>七、存在的问题及原因分析</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1、基本支出预算编制科学性有待提高，不利于实际执行。</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财政批复的一般商品和服务支出包括机关运行办公费、水电费等根据人头标准，不能满足实际工作需要，而其他经费的支出可执行性也不强，预算执行力度需进一步加强。</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2、相关业务工作财政未纳入财政项目经费预算，造成挤占机关日常公用经费预算，使日常公用经费预算数与实际支出数有差距。比如我局2021年的档案馆建设投入资金200多万元，但区财政并未将此项工作经费纳入财政预算。</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3、项目后期维护保障不足。项目完成后缺乏后续维护的相关制度保障，无相关经费安排，不利于项目的维护和持续发挥效益。</w:t>
            </w:r>
          </w:p>
          <w:p>
            <w:pPr>
              <w:numPr>
                <w:numId w:val="0"/>
              </w:num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lang w:eastAsia="zh-CN"/>
              </w:rPr>
              <w:t>八、</w:t>
            </w:r>
            <w:r>
              <w:rPr>
                <w:rFonts w:hint="eastAsia" w:ascii="黑体" w:hAnsi="黑体" w:eastAsia="黑体" w:cs="黑体"/>
                <w:sz w:val="24"/>
              </w:rPr>
              <w:t>下一步改进措施</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1.合理编制年度预算。参考上年度预算执行情况和本年度收支预测，制订科学合理的预算标准，将预算支出项目细化，遵循实事求是的原则，进一步提高预算的可执行性。</w:t>
            </w:r>
          </w:p>
          <w:p>
            <w:pPr>
              <w:pStyle w:val="5"/>
              <w:shd w:val="clear" w:color="auto" w:fill="FFFFFF"/>
              <w:spacing w:before="0" w:beforeAutospacing="0" w:after="0" w:afterAutospacing="0" w:line="320" w:lineRule="exact"/>
              <w:ind w:firstLine="482"/>
              <w:jc w:val="both"/>
              <w:rPr>
                <w:rFonts w:ascii="仿宋" w:hAnsi="仿宋" w:eastAsia="仿宋"/>
                <w:color w:val="000000"/>
              </w:rPr>
            </w:pPr>
            <w:r>
              <w:rPr>
                <w:rFonts w:hint="eastAsia" w:ascii="仿宋" w:hAnsi="仿宋" w:eastAsia="仿宋"/>
                <w:color w:val="000000"/>
              </w:rPr>
              <w:t>2.进一步加强资产管理。应对账面固定资产实物进行核查，对历年应收、应付呆账等进行清理、处置，调整账务，夯实资产资金管理基础，摸清资产家底，以最大限度利用好现有资产。</w:t>
            </w:r>
          </w:p>
          <w:p>
            <w:pPr>
              <w:numPr>
                <w:numId w:val="0"/>
              </w:numPr>
              <w:spacing w:line="480" w:lineRule="exact"/>
              <w:ind w:firstLine="480" w:firstLineChars="200"/>
              <w:jc w:val="left"/>
              <w:rPr>
                <w:rFonts w:hint="eastAsia" w:ascii="黑体" w:hAnsi="黑体" w:eastAsia="黑体" w:cs="黑体"/>
                <w:sz w:val="24"/>
              </w:rPr>
            </w:pPr>
            <w:r>
              <w:rPr>
                <w:rFonts w:hint="eastAsia" w:ascii="仿宋" w:hAnsi="仿宋" w:eastAsia="仿宋"/>
                <w:color w:val="000000"/>
                <w:sz w:val="24"/>
                <w:szCs w:val="24"/>
              </w:rPr>
              <w:t>3.进一步完善项目监管机制。项目立项须严格遵循一切从实际出发的原则，结合工作的必要性、以维护人民群众利益为落脚点。将项目做实，环环守规，节节有矩。项目前期加强预算审核、严格执行政府采购程序，项目中监管实施到位，确保项目的质量效益</w:t>
            </w:r>
            <w:r>
              <w:rPr>
                <w:rFonts w:hint="eastAsia" w:ascii="仿宋" w:hAnsi="仿宋" w:eastAsia="仿宋"/>
                <w:color w:val="000000"/>
              </w:rPr>
              <w:t>。</w:t>
            </w:r>
          </w:p>
          <w:p>
            <w:p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九、其他需要说明的情况</w:t>
            </w:r>
          </w:p>
          <w:p>
            <w:pPr>
              <w:spacing w:line="480" w:lineRule="exact"/>
              <w:ind w:firstLine="480" w:firstLineChars="200"/>
              <w:jc w:val="left"/>
              <w:rPr>
                <w:rFonts w:hint="default" w:ascii="黑体" w:hAnsi="黑体" w:eastAsia="黑体" w:cs="黑体"/>
                <w:sz w:val="24"/>
                <w:lang w:val="en-US" w:eastAsia="zh-CN"/>
              </w:rPr>
            </w:pPr>
            <w:r>
              <w:rPr>
                <w:rFonts w:hint="eastAsia" w:ascii="黑体" w:hAnsi="黑体" w:eastAsia="黑体" w:cs="黑体"/>
                <w:sz w:val="24"/>
                <w:lang w:val="en-US" w:eastAsia="zh-CN"/>
              </w:rPr>
              <w:t xml:space="preserve">         无</w:t>
            </w:r>
          </w:p>
        </w:tc>
      </w:tr>
    </w:tbl>
    <w:p>
      <w:r>
        <w:rPr>
          <w:rFonts w:eastAsia="楷体_GB2312"/>
          <w:bCs/>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2</w:t>
    </w:r>
    <w:r>
      <w:rPr>
        <w:rFonts w:hint="eastAsia" w:ascii="仿宋_GB2312" w:eastAsia="仿宋_GB2312"/>
        <w:sz w:val="28"/>
        <w:szCs w:val="28"/>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zljZDBjMzI3NTczNDBjODg3NGUwNjIxYWZhZGQifQ=="/>
  </w:docVars>
  <w:rsids>
    <w:rsidRoot w:val="00C50B7B"/>
    <w:rsid w:val="000446A1"/>
    <w:rsid w:val="00096CA0"/>
    <w:rsid w:val="0010560A"/>
    <w:rsid w:val="001605B9"/>
    <w:rsid w:val="001904B4"/>
    <w:rsid w:val="001E0C31"/>
    <w:rsid w:val="00237B1C"/>
    <w:rsid w:val="00255B4A"/>
    <w:rsid w:val="002A7E15"/>
    <w:rsid w:val="002F4885"/>
    <w:rsid w:val="00345054"/>
    <w:rsid w:val="00372EA3"/>
    <w:rsid w:val="003B0DB1"/>
    <w:rsid w:val="003C0983"/>
    <w:rsid w:val="00414D1F"/>
    <w:rsid w:val="0044736D"/>
    <w:rsid w:val="00477B71"/>
    <w:rsid w:val="00494FB0"/>
    <w:rsid w:val="00581A46"/>
    <w:rsid w:val="00733474"/>
    <w:rsid w:val="00734FE6"/>
    <w:rsid w:val="0073745A"/>
    <w:rsid w:val="00773197"/>
    <w:rsid w:val="00832E72"/>
    <w:rsid w:val="008640BC"/>
    <w:rsid w:val="00896B8A"/>
    <w:rsid w:val="009214A6"/>
    <w:rsid w:val="00931B25"/>
    <w:rsid w:val="00932AEC"/>
    <w:rsid w:val="0097197C"/>
    <w:rsid w:val="00986688"/>
    <w:rsid w:val="009A31B9"/>
    <w:rsid w:val="009C19B4"/>
    <w:rsid w:val="009D24AE"/>
    <w:rsid w:val="009D6AD0"/>
    <w:rsid w:val="00A86F85"/>
    <w:rsid w:val="00AA70FD"/>
    <w:rsid w:val="00B142F0"/>
    <w:rsid w:val="00B32C02"/>
    <w:rsid w:val="00B62DEA"/>
    <w:rsid w:val="00B66E8E"/>
    <w:rsid w:val="00B83915"/>
    <w:rsid w:val="00B9517A"/>
    <w:rsid w:val="00BA3458"/>
    <w:rsid w:val="00C050DC"/>
    <w:rsid w:val="00C50B7B"/>
    <w:rsid w:val="00C7608F"/>
    <w:rsid w:val="00CE7C5C"/>
    <w:rsid w:val="00D17A0A"/>
    <w:rsid w:val="00D4688E"/>
    <w:rsid w:val="00D92189"/>
    <w:rsid w:val="00DC5D62"/>
    <w:rsid w:val="00E6088E"/>
    <w:rsid w:val="00E71066"/>
    <w:rsid w:val="00E764E5"/>
    <w:rsid w:val="00E76EC7"/>
    <w:rsid w:val="00EA0B91"/>
    <w:rsid w:val="00EA5140"/>
    <w:rsid w:val="00EB35FD"/>
    <w:rsid w:val="00F51593"/>
    <w:rsid w:val="00FA44D9"/>
    <w:rsid w:val="00FE6B9F"/>
    <w:rsid w:val="1759264F"/>
    <w:rsid w:val="21D942F1"/>
    <w:rsid w:val="49951CE4"/>
    <w:rsid w:val="49A74D13"/>
    <w:rsid w:val="4BBD60FC"/>
    <w:rsid w:val="4EE832C9"/>
    <w:rsid w:val="6965316D"/>
    <w:rsid w:val="69E271DD"/>
    <w:rsid w:val="6FD0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footer"/>
    <w:basedOn w:val="1"/>
    <w:link w:val="10"/>
    <w:qFormat/>
    <w:uiPriority w:val="0"/>
    <w:pPr>
      <w:tabs>
        <w:tab w:val="center" w:pos="4153"/>
        <w:tab w:val="right" w:pos="8306"/>
      </w:tabs>
      <w:snapToGrid w:val="0"/>
      <w:jc w:val="left"/>
    </w:pPr>
    <w:rPr>
      <w:kern w:val="0"/>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link w:val="15"/>
    <w:qFormat/>
    <w:uiPriority w:val="0"/>
    <w:pPr>
      <w:spacing w:before="100" w:beforeAutospacing="1" w:after="0"/>
      <w:ind w:left="0" w:firstLine="420" w:firstLineChars="200"/>
    </w:pPr>
    <w:rPr>
      <w:rFonts w:eastAsiaTheme="minorEastAsia" w:cstheme="minorBidi"/>
    </w:rPr>
  </w:style>
  <w:style w:type="character" w:styleId="9">
    <w:name w:val="page number"/>
    <w:qFormat/>
    <w:uiPriority w:val="0"/>
  </w:style>
  <w:style w:type="character" w:customStyle="1" w:styleId="10">
    <w:name w:val="页脚 Char"/>
    <w:basedOn w:val="8"/>
    <w:link w:val="3"/>
    <w:qFormat/>
    <w:uiPriority w:val="0"/>
    <w:rPr>
      <w:rFonts w:ascii="Times New Roman" w:hAnsi="Times New Roman" w:eastAsia="宋体" w:cs="Times New Roman"/>
      <w:kern w:val="0"/>
      <w:sz w:val="18"/>
      <w:szCs w:val="18"/>
    </w:rPr>
  </w:style>
  <w:style w:type="paragraph" w:customStyle="1" w:styleId="11">
    <w:name w:val="列出段落1"/>
    <w:basedOn w:val="1"/>
    <w:qFormat/>
    <w:uiPriority w:val="99"/>
    <w:pPr>
      <w:ind w:firstLine="420" w:firstLineChars="200"/>
    </w:pPr>
    <w:rPr>
      <w:rFonts w:ascii="Calibri" w:hAnsi="Calibri"/>
      <w:szCs w:val="22"/>
    </w:rPr>
  </w:style>
  <w:style w:type="character" w:customStyle="1" w:styleId="12">
    <w:name w:val="页眉 Char"/>
    <w:basedOn w:val="8"/>
    <w:link w:val="4"/>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正文文本缩进 Char"/>
    <w:basedOn w:val="8"/>
    <w:link w:val="2"/>
    <w:semiHidden/>
    <w:qFormat/>
    <w:uiPriority w:val="99"/>
    <w:rPr>
      <w:rFonts w:ascii="Times New Roman" w:hAnsi="Times New Roman" w:eastAsia="宋体" w:cs="Times New Roman"/>
      <w:szCs w:val="24"/>
    </w:rPr>
  </w:style>
  <w:style w:type="character" w:customStyle="1" w:styleId="15">
    <w:name w:val="正文首行缩进 2 Char"/>
    <w:basedOn w:val="14"/>
    <w:link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Win7w.Com</Company>
  <Pages>12</Pages>
  <Words>6410</Words>
  <Characters>6846</Characters>
  <Lines>53</Lines>
  <Paragraphs>15</Paragraphs>
  <TotalTime>84</TotalTime>
  <ScaleCrop>false</ScaleCrop>
  <LinksUpToDate>false</LinksUpToDate>
  <CharactersWithSpaces>7225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2022-07-21T03:11:00Z</dcterms:created>
  <dc:creator>Win7w</dc:creator>
  <cp:lastModifiedBy>Administrator</cp:lastModifiedBy>
  <dcterms:modified xsi:type="dcterms:W3CDTF">2022-07-25T09:17:00Z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7B05677FC75C4554A021844E5D441C77</vt:lpwstr>
  </property>
</Properties>
</file>