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黑体" w:eastAsia="方正小标宋简体" w:cs="黑体"/>
          <w:bCs/>
          <w:sz w:val="44"/>
          <w:szCs w:val="44"/>
        </w:rPr>
      </w:pPr>
    </w:p>
    <w:p>
      <w:pPr>
        <w:spacing w:line="600" w:lineRule="exact"/>
        <w:rPr>
          <w:rFonts w:hint="eastAsia" w:ascii="方正小标宋简体" w:hAnsi="黑体" w:eastAsia="方正小标宋简体" w:cs="黑体"/>
          <w:bCs/>
          <w:sz w:val="44"/>
          <w:szCs w:val="44"/>
        </w:rPr>
      </w:pPr>
    </w:p>
    <w:p>
      <w:pPr>
        <w:spacing w:line="600" w:lineRule="exact"/>
        <w:rPr>
          <w:rFonts w:hint="eastAsia" w:ascii="方正小标宋简体" w:hAnsi="黑体" w:eastAsia="方正小标宋简体" w:cs="黑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2021</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line="80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岳阳市云溪区融媒体中心       </w:t>
      </w:r>
    </w:p>
    <w:p>
      <w:pPr>
        <w:spacing w:line="800" w:lineRule="exact"/>
        <w:ind w:firstLine="476" w:firstLineChars="150"/>
        <w:rPr>
          <w:rFonts w:hint="eastAsia"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r>
        <w:rPr>
          <w:rFonts w:hint="eastAsia" w:eastAsia="仿宋_GB2312"/>
          <w:spacing w:val="20"/>
          <w:sz w:val="32"/>
          <w:szCs w:val="32"/>
          <w:u w:val="single"/>
        </w:rPr>
        <w:t>149</w:t>
      </w:r>
      <w:r>
        <w:rPr>
          <w:rFonts w:hint="eastAsia" w:eastAsia="仿宋_GB2312"/>
          <w:spacing w:val="20"/>
          <w:sz w:val="32"/>
          <w:szCs w:val="32"/>
          <w:u w:val="single"/>
          <w:lang w:val="en-US" w:eastAsia="zh-CN"/>
        </w:rPr>
        <w:t>001</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rPr>
          <w:rFonts w:hint="eastAsia" w:eastAsia="仿宋_GB2312"/>
          <w:sz w:val="32"/>
        </w:rPr>
      </w:pPr>
    </w:p>
    <w:p>
      <w:pPr>
        <w:spacing w:line="600" w:lineRule="exact"/>
        <w:ind w:firstLine="2188" w:firstLineChars="690"/>
        <w:rPr>
          <w:rFonts w:hint="eastAsia" w:eastAsia="仿宋_GB2312"/>
          <w:sz w:val="32"/>
        </w:rPr>
      </w:pPr>
    </w:p>
    <w:p>
      <w:pPr>
        <w:spacing w:line="6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18</w:t>
      </w:r>
      <w:r>
        <w:rPr>
          <w:rFonts w:hint="eastAsia" w:eastAsia="仿宋_GB2312"/>
          <w:sz w:val="32"/>
        </w:rPr>
        <w:t>日</w:t>
      </w:r>
    </w:p>
    <w:p>
      <w:pPr>
        <w:autoSpaceDN w:val="0"/>
        <w:spacing w:line="600" w:lineRule="exact"/>
        <w:jc w:val="center"/>
        <w:textAlignment w:val="center"/>
        <w:rPr>
          <w:rFonts w:hint="eastAsia"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易毅</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18274067979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贯彻执行党和国家新闻宣传的路线、方针、政策，把握正确的舆论导向，开展新闻宣传报道。2、推进媒体融合发展，按照“主流舆论阵地、综合服务平台、社区信息枢纽”的目标，建设、管理和使用好区融媒体平台，更好地服务区委区政府中心工作、服务群众，逐步提升区本级媒体的传播力、引导力、影响力。3、对接我区各党政部门技术平台，打造“指尖上的政务服务中心”。4、打通线上线下，积极组织或参与组织、宣传报道各类群众性文化、体育、科普等工艺活动和会展、节庆等商务活动，丰富群众文化生活。5、承办重大宣传活动的直播、录播工作；负责对各行政执法部门进行舆论监督。6、承办云溪广播电视台、云溪人民广播电台、云溪新闻网、云溪手机报、《掌上云溪》微信公众号、“大美云溪”官方微博、“云溪发布”新闻客户端和《岳阳日报·云溪周刊》等区办官方媒体。负责全区无线调频广播和农村广播“村村响”节目的制作和播出。7、负责拟订全区新闻媒体事业发展规划并组织实施；负责全区官方新媒体的研究和开发利用。8、负责区办广播、电视等媒体的安全播出工作，组织审查自办节目频道播出的电视剧、电影和其他节目的内容和质量，确保广播、电视节目优质安全播出。9、负责全区党员教育音视频课件制作。10、负责全区新闻宣传人才的培训、培养、引进和使用工作，建立统分结合、机动灵活、因事设岗、精干高效的管理体制。11、加强与中央、省、市各类媒体的联系与合作。12、协助区委宣传部，做好舆情和网络舆情的监控处置。13、完成区委、区政府交办的其他任务。</w:t>
            </w:r>
          </w:p>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35"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任务1：生产优秀新闻产品，提高平台吸附力。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任务2：打造业务精良队伍，扩大平台影响力。</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任务3：拓展经营管理渠道，增强自身造血功能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59"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来，区融媒体中心以党中央和省市区委确定的新闻宣传工作要点为导向，以弘扬主旋律、传播正能量、打好主动仗为主线，以立足区情、围绕中心、服务大局为重点，在凝聚人心、积聚人气、激发民智、汇聚民力上做文章，进一步提高云溪的知名度、美誉度，扩大云溪的影响力，为富强美丽幸福新云溪建设提供强劲的舆论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525.37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42.32</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337.9</w:t>
            </w:r>
          </w:p>
        </w:tc>
        <w:tc>
          <w:tcPr>
            <w:tcW w:w="1705"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130</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525.37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42.32</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337.9</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130</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noWrap w:val="0"/>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525.37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271</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198.59</w:t>
            </w:r>
          </w:p>
        </w:tc>
        <w:tc>
          <w:tcPr>
            <w:tcW w:w="2160" w:type="dxa"/>
            <w:gridSpan w:val="4"/>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72.41</w:t>
            </w:r>
          </w:p>
        </w:tc>
        <w:tc>
          <w:tcPr>
            <w:tcW w:w="1080" w:type="dxa"/>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254.37</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525.37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271</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198.59</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72.41</w:t>
            </w: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254.37</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0.37</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0.37</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0.37</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473.57</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473.57</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473.57</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473.57</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目标1：提高平台吸附力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目标2：扩大平台影响力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目标3：增强自身造血功能</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平台吸附力大幅度提高</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平台影响力逐步扩大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自身造血功能有所增强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转好班子队伍建设，营造良好氛围</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6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2：抓好业务培训，提升专业素质</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val="en-US" w:eastAsia="zh-CN"/>
              </w:rPr>
              <w:t>标1：推送《掌上云溪》279期共发布1221条信息</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湖南日报上稿9篇，市州头条7个</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3：制作专题片36个</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广播电视实时播出</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新闻报道实时</w:t>
            </w:r>
            <w:bookmarkStart w:id="0" w:name="_GoBack"/>
            <w:bookmarkEnd w:id="0"/>
            <w:r>
              <w:rPr>
                <w:rFonts w:hint="eastAsia" w:ascii="仿宋_GB2312" w:hAnsi="仿宋_GB2312" w:eastAsia="仿宋_GB2312" w:cs="仿宋_GB2312"/>
                <w:color w:val="000000"/>
                <w:sz w:val="24"/>
                <w:lang w:eastAsia="zh-CN"/>
              </w:rPr>
              <w:t>播出</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安全播出“零事故”</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每月定期进行安全隐患排查</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3：值守记录实现24小时无缝对接</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指标1：发挥媒体宣传、舆论监督作用</w:t>
            </w:r>
          </w:p>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指标2：满足群众精神文化需要，传递党和政府的声音，促进社会和谐发展</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完善财务管理制度，提高资金运转效率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紧盯生态环境治理主体，发布相关宣传报道</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制作村村响广播</w:t>
            </w:r>
            <w:r>
              <w:rPr>
                <w:rFonts w:hint="eastAsia" w:ascii="仿宋_GB2312" w:hAnsi="仿宋_GB2312" w:eastAsia="仿宋_GB2312" w:cs="仿宋_GB2312"/>
                <w:color w:val="000000"/>
                <w:sz w:val="24"/>
                <w:lang w:val="en-US" w:eastAsia="zh-CN"/>
              </w:rPr>
              <w:t>348期</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加大新闻宣传，提高云溪知名度和美誉度</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沈小平</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张小平</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办公室主任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曹艳</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财务人员</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易毅</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财务人员</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noWrap w:val="0"/>
            <w:vAlign w:val="center"/>
          </w:tcPr>
          <w:p>
            <w:pPr>
              <w:spacing w:line="360" w:lineRule="exact"/>
              <w:rPr>
                <w:rFonts w:hint="eastAsia" w:eastAsia="仿宋_GB2312"/>
                <w:sz w:val="24"/>
              </w:rPr>
            </w:pPr>
            <w:r>
              <w:rPr>
                <w:rFonts w:hint="eastAsia" w:eastAsia="仿宋_GB2312"/>
                <w:sz w:val="24"/>
              </w:rPr>
              <w:t>财政部门归口业务股室意见：</w:t>
            </w: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spacing w:line="480" w:lineRule="exact"/>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p>
          <w:p>
            <w:pPr>
              <w:spacing w:line="480" w:lineRule="exact"/>
              <w:ind w:firstLine="640" w:firstLineChars="200"/>
              <w:rPr>
                <w:rFonts w:hint="eastAsia" w:eastAsia="仿宋_GB2312"/>
                <w:sz w:val="32"/>
                <w:szCs w:val="32"/>
              </w:rPr>
            </w:pP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一、部门（单位）概况</w:t>
            </w:r>
          </w:p>
          <w:p>
            <w:pPr>
              <w:spacing w:line="48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岳阳市云溪区融媒体中心是区委直属公益类事业单位，为正科级，归口区委宣传部管理</w:t>
            </w:r>
            <w:r>
              <w:rPr>
                <w:rFonts w:hint="eastAsia" w:ascii="宋体" w:hAnsi="宋体" w:eastAsia="宋体" w:cs="宋体"/>
                <w:bCs/>
                <w:sz w:val="24"/>
                <w:lang w:eastAsia="zh-CN"/>
              </w:rPr>
              <w:t>，主要职责是开展新闻宣传报道，推动媒体融合发展。融媒体中心下设内设机构包括：综合部（人力资源部、财务部）、总编辑部、采编部、专题部、技术部。区融媒体中心职能和编制规定如下：机关全额拨款事业编制</w:t>
            </w:r>
            <w:r>
              <w:rPr>
                <w:rFonts w:hint="eastAsia" w:ascii="宋体" w:hAnsi="宋体" w:eastAsia="宋体" w:cs="宋体"/>
                <w:bCs/>
                <w:sz w:val="24"/>
                <w:lang w:val="en-US" w:eastAsia="zh-CN"/>
              </w:rPr>
              <w:t>17</w:t>
            </w:r>
            <w:r>
              <w:rPr>
                <w:rFonts w:hint="eastAsia" w:ascii="宋体" w:hAnsi="宋体" w:eastAsia="宋体" w:cs="宋体"/>
                <w:bCs/>
                <w:sz w:val="24"/>
                <w:lang w:eastAsia="zh-CN"/>
              </w:rPr>
              <w:t>名。设主任1名，副主任3名；岳阳市云溪区广播电视站（加挂云溪电视台、云溪人民广播电台牌子），为区融媒体中心所属公益类事业机构，为正股级。主要负责承办云溪广播电视台、云溪人民广播电台；负责农村广播“村村响”节目制作；负责各类新闻及资讯产品的运营和推广；承担各类广告创意、制作和发布；负责管理和常规使用音视频工作平台；协助一线采访和新媒体推广工作。核定全额拨款事业编制2名，其中站长1名</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二、一般公共预算支出情况</w:t>
            </w:r>
          </w:p>
          <w:p>
            <w:pPr>
              <w:numPr>
                <w:ilvl w:val="0"/>
                <w:numId w:val="1"/>
              </w:num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基本支出情况</w:t>
            </w:r>
          </w:p>
          <w:p>
            <w:pPr>
              <w:spacing w:line="500" w:lineRule="exact"/>
              <w:ind w:firstLine="480" w:firstLineChars="200"/>
              <w:rPr>
                <w:rFonts w:hint="default" w:ascii="宋体" w:hAnsi="宋体" w:eastAsia="宋体" w:cs="宋体"/>
                <w:bCs/>
                <w:sz w:val="24"/>
                <w:lang w:val="en-US" w:eastAsia="zh-CN"/>
              </w:rPr>
            </w:pPr>
            <w:r>
              <w:rPr>
                <w:rFonts w:hint="eastAsia" w:ascii="宋体" w:hAnsi="宋体" w:cs="宋体"/>
                <w:bCs/>
                <w:sz w:val="24"/>
                <w:lang w:eastAsia="zh-CN"/>
              </w:rPr>
              <w:t>中心</w:t>
            </w:r>
            <w:r>
              <w:rPr>
                <w:rFonts w:hint="eastAsia" w:ascii="宋体" w:hAnsi="宋体" w:cs="宋体"/>
                <w:bCs/>
                <w:sz w:val="24"/>
                <w:lang w:val="en-US" w:eastAsia="zh-CN"/>
              </w:rPr>
              <w:t>2021年度基本支出整体状况良好，基本支出总额</w:t>
            </w:r>
            <w:r>
              <w:rPr>
                <w:rFonts w:hint="eastAsia" w:ascii="仿宋_GB2312" w:hAnsi="仿宋_GB2312" w:eastAsia="仿宋_GB2312" w:cs="仿宋_GB2312"/>
                <w:color w:val="000000"/>
                <w:sz w:val="24"/>
                <w:lang w:val="en-US" w:eastAsia="zh-CN"/>
              </w:rPr>
              <w:t>271</w:t>
            </w:r>
            <w:r>
              <w:rPr>
                <w:rFonts w:hint="eastAsia" w:ascii="宋体" w:hAnsi="宋体" w:cs="宋体"/>
                <w:bCs/>
                <w:sz w:val="24"/>
                <w:lang w:val="en-US" w:eastAsia="zh-CN"/>
              </w:rPr>
              <w:t>万元。其中人员经费支出</w:t>
            </w:r>
            <w:r>
              <w:rPr>
                <w:rFonts w:hint="eastAsia" w:ascii="仿宋_GB2312" w:hAnsi="仿宋_GB2312" w:eastAsia="仿宋_GB2312" w:cs="仿宋_GB2312"/>
                <w:color w:val="000000"/>
                <w:sz w:val="24"/>
                <w:lang w:val="en-US" w:eastAsia="zh-CN"/>
              </w:rPr>
              <w:t>198.59</w:t>
            </w:r>
            <w:r>
              <w:rPr>
                <w:rFonts w:hint="eastAsia" w:ascii="宋体" w:hAnsi="宋体" w:cs="宋体"/>
                <w:bCs/>
                <w:sz w:val="24"/>
                <w:lang w:val="en-US" w:eastAsia="zh-CN"/>
              </w:rPr>
              <w:t>万元，公用经费支出</w:t>
            </w:r>
            <w:r>
              <w:rPr>
                <w:rFonts w:hint="eastAsia" w:ascii="仿宋_GB2312" w:hAnsi="仿宋_GB2312" w:eastAsia="仿宋_GB2312" w:cs="仿宋_GB2312"/>
                <w:color w:val="000000"/>
                <w:sz w:val="24"/>
                <w:lang w:val="en-US" w:eastAsia="zh-CN"/>
              </w:rPr>
              <w:t>72.41</w:t>
            </w:r>
            <w:r>
              <w:rPr>
                <w:rFonts w:hint="eastAsia" w:ascii="宋体" w:hAnsi="宋体" w:cs="宋体"/>
                <w:bCs/>
                <w:sz w:val="24"/>
                <w:lang w:val="en-US" w:eastAsia="zh-CN"/>
              </w:rPr>
              <w:t>万元。均按财政部门要求进行使用和管理。其中“三公”经费的使用和管理严格规范，接待费支出完全按照省市关于公务接待的有关文件执行，2021年度中心没有因公出国（境）情况，彻落实厉行节约、严控“三公”经费。</w:t>
            </w:r>
          </w:p>
          <w:p>
            <w:pPr>
              <w:numPr>
                <w:ilvl w:val="0"/>
                <w:numId w:val="0"/>
              </w:numPr>
              <w:spacing w:line="480" w:lineRule="exact"/>
              <w:rPr>
                <w:rFonts w:hint="eastAsia" w:ascii="仿宋_GB2312" w:hAnsi="宋体" w:eastAsia="仿宋_GB2312" w:cs="宋体"/>
                <w:bCs/>
                <w:sz w:val="24"/>
              </w:rPr>
            </w:pP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（二）项目支出情况</w:t>
            </w:r>
          </w:p>
          <w:p>
            <w:pPr>
              <w:spacing w:line="500" w:lineRule="exact"/>
              <w:ind w:firstLine="480" w:firstLineChars="200"/>
              <w:rPr>
                <w:rFonts w:hint="default" w:ascii="宋体" w:hAnsi="宋体" w:eastAsia="宋体" w:cs="宋体"/>
                <w:bCs/>
                <w:sz w:val="24"/>
                <w:lang w:val="en-US" w:eastAsia="zh-CN"/>
              </w:rPr>
            </w:pPr>
            <w:r>
              <w:rPr>
                <w:rFonts w:hint="eastAsia" w:ascii="宋体" w:hAnsi="宋体" w:cs="宋体"/>
                <w:bCs/>
                <w:sz w:val="24"/>
                <w:lang w:eastAsia="zh-CN"/>
              </w:rPr>
              <w:t>中心</w:t>
            </w:r>
            <w:r>
              <w:rPr>
                <w:rFonts w:hint="eastAsia" w:ascii="宋体" w:hAnsi="宋体" w:cs="宋体"/>
                <w:bCs/>
                <w:sz w:val="24"/>
                <w:lang w:val="en-US" w:eastAsia="zh-CN"/>
              </w:rPr>
              <w:t>2021年度预算安排项目资金117.42万元，单位实际发生项目支出254.37万元，其中融媒体中心建设专项支出106.98万元，上级媒体宣传费项目支出41万元，云溪区群众性党史知识竞赛项目支出17.37万元，优稿及节目组织项目支出21.77万元，云溪发布、广播电台推广项目支出17.78万元，设备采购及维护租赁等项目支出12.52万元，广播电视安全播出（含电视剧采购费）等项目支出36.95万元，年初预算安排的项目资金全部用于项目，实现了专款专用。</w:t>
            </w:r>
          </w:p>
          <w:p>
            <w:pPr>
              <w:spacing w:line="480" w:lineRule="exact"/>
              <w:ind w:firstLine="480" w:firstLineChars="200"/>
              <w:rPr>
                <w:rFonts w:hint="eastAsia" w:ascii="仿宋_GB2312" w:hAnsi="宋体" w:eastAsia="仿宋_GB2312" w:cs="宋体"/>
                <w:bCs/>
                <w:sz w:val="24"/>
              </w:rPr>
            </w:pPr>
          </w:p>
          <w:p>
            <w:pPr>
              <w:numPr>
                <w:ilvl w:val="0"/>
                <w:numId w:val="2"/>
              </w:num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政府性基金预算支出情况</w:t>
            </w:r>
          </w:p>
          <w:p>
            <w:pPr>
              <w:spacing w:line="500" w:lineRule="exact"/>
              <w:ind w:firstLine="480" w:firstLineChars="200"/>
              <w:rPr>
                <w:rFonts w:hint="eastAsia" w:ascii="黑体" w:hAnsi="黑体" w:eastAsia="黑体" w:cs="黑体"/>
                <w:bCs/>
                <w:sz w:val="24"/>
              </w:rPr>
            </w:pPr>
            <w:r>
              <w:rPr>
                <w:rFonts w:hint="eastAsia" w:ascii="宋体" w:hAnsi="宋体" w:cs="宋体"/>
                <w:bCs/>
                <w:sz w:val="24"/>
                <w:lang w:eastAsia="zh-CN"/>
              </w:rPr>
              <w:t>中心</w:t>
            </w:r>
            <w:r>
              <w:rPr>
                <w:rFonts w:hint="eastAsia" w:ascii="宋体" w:hAnsi="宋体" w:cs="宋体"/>
                <w:bCs/>
                <w:sz w:val="24"/>
                <w:lang w:val="en-US" w:eastAsia="zh-CN"/>
              </w:rPr>
              <w:t>2021年度</w:t>
            </w:r>
            <w:r>
              <w:rPr>
                <w:rFonts w:hint="eastAsia" w:ascii="宋体" w:hAnsi="宋体" w:eastAsia="宋体" w:cs="宋体"/>
                <w:bCs/>
                <w:sz w:val="24"/>
                <w:lang w:eastAsia="zh-CN"/>
              </w:rPr>
              <w:t>政府性基金</w:t>
            </w:r>
            <w:r>
              <w:rPr>
                <w:rFonts w:hint="eastAsia" w:ascii="宋体" w:hAnsi="宋体" w:eastAsia="宋体" w:cs="宋体"/>
                <w:bCs/>
                <w:sz w:val="24"/>
                <w:lang w:val="en-US" w:eastAsia="zh-CN"/>
              </w:rPr>
              <w:t>预算安排</w:t>
            </w:r>
            <w:r>
              <w:rPr>
                <w:rFonts w:hint="eastAsia" w:ascii="宋体" w:hAnsi="宋体" w:cs="宋体"/>
                <w:bCs/>
                <w:sz w:val="24"/>
                <w:lang w:val="en-US" w:eastAsia="zh-CN"/>
              </w:rPr>
              <w:t>项目资金130万元，其中基本支出19.36万，项目支出110.64万元。</w:t>
            </w:r>
          </w:p>
          <w:p>
            <w:pPr>
              <w:numPr>
                <w:ilvl w:val="0"/>
                <w:numId w:val="2"/>
              </w:numPr>
              <w:spacing w:line="480" w:lineRule="exact"/>
              <w:ind w:left="0" w:leftChars="0" w:firstLine="480" w:firstLineChars="200"/>
              <w:rPr>
                <w:rFonts w:hint="eastAsia" w:ascii="黑体" w:hAnsi="黑体" w:eastAsia="黑体" w:cs="黑体"/>
                <w:bCs/>
                <w:sz w:val="24"/>
              </w:rPr>
            </w:pPr>
            <w:r>
              <w:rPr>
                <w:rFonts w:hint="eastAsia" w:ascii="黑体" w:hAnsi="黑体" w:eastAsia="黑体" w:cs="黑体"/>
                <w:bCs/>
                <w:sz w:val="24"/>
              </w:rPr>
              <w:t>国有资本经营预算支出情况</w:t>
            </w:r>
          </w:p>
          <w:p>
            <w:pPr>
              <w:numPr>
                <w:ilvl w:val="0"/>
                <w:numId w:val="0"/>
              </w:numPr>
              <w:spacing w:line="480" w:lineRule="exact"/>
              <w:ind w:leftChars="200"/>
              <w:rPr>
                <w:rFonts w:hint="eastAsia" w:ascii="黑体" w:hAnsi="黑体" w:eastAsia="黑体" w:cs="黑体"/>
                <w:bCs/>
                <w:sz w:val="24"/>
              </w:rPr>
            </w:pPr>
            <w:r>
              <w:rPr>
                <w:rFonts w:hint="eastAsia" w:ascii="宋体" w:hAnsi="宋体" w:eastAsia="宋体" w:cs="宋体"/>
                <w:bCs/>
                <w:sz w:val="24"/>
                <w:lang w:val="en-US" w:eastAsia="zh-CN"/>
              </w:rPr>
              <w:t>中心2021年无国有资本经营预算收支业务</w:t>
            </w:r>
          </w:p>
          <w:p>
            <w:pPr>
              <w:numPr>
                <w:ilvl w:val="0"/>
                <w:numId w:val="2"/>
              </w:numPr>
              <w:spacing w:line="480" w:lineRule="exact"/>
              <w:ind w:left="0" w:leftChars="0" w:firstLine="480" w:firstLineChars="200"/>
              <w:rPr>
                <w:rFonts w:hint="eastAsia" w:ascii="黑体" w:hAnsi="黑体" w:eastAsia="黑体" w:cs="黑体"/>
                <w:bCs/>
                <w:sz w:val="24"/>
              </w:rPr>
            </w:pPr>
            <w:r>
              <w:rPr>
                <w:rFonts w:hint="eastAsia" w:ascii="黑体" w:hAnsi="黑体" w:eastAsia="黑体" w:cs="黑体"/>
                <w:bCs/>
                <w:sz w:val="24"/>
              </w:rPr>
              <w:t>社会保险基金预算支出情况</w:t>
            </w:r>
          </w:p>
          <w:p>
            <w:pPr>
              <w:numPr>
                <w:ilvl w:val="0"/>
                <w:numId w:val="0"/>
              </w:numPr>
              <w:spacing w:line="480" w:lineRule="exact"/>
              <w:ind w:leftChars="200"/>
              <w:rPr>
                <w:rFonts w:hint="eastAsia" w:ascii="黑体" w:hAnsi="黑体" w:eastAsia="黑体" w:cs="黑体"/>
                <w:bCs/>
                <w:sz w:val="24"/>
              </w:rPr>
            </w:pPr>
            <w:r>
              <w:rPr>
                <w:rFonts w:hint="eastAsia" w:ascii="宋体" w:hAnsi="宋体" w:eastAsia="宋体" w:cs="宋体"/>
                <w:bCs/>
                <w:sz w:val="24"/>
                <w:lang w:val="en-US" w:eastAsia="zh-CN"/>
              </w:rPr>
              <w:t>中心2021年社保及住房公积金支出46.43万元，其中基本养老保险缴费支出18.22万元，职业年金缴费支出6.48万元，职工基本医疗保险缴费支出9.33万元，工伤保险缴费支出0.99万元，住房公积金支出11.41万元。</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六、部门整体支出绩效情况</w:t>
            </w:r>
          </w:p>
          <w:p>
            <w:pPr>
              <w:widowControl/>
              <w:spacing w:line="500" w:lineRule="exact"/>
              <w:ind w:firstLine="480" w:firstLineChars="200"/>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2021年度，区融媒体中心整体支出</w:t>
            </w:r>
            <w:r>
              <w:rPr>
                <w:rFonts w:hint="eastAsia" w:ascii="仿宋_GB2312" w:hAnsi="仿宋_GB2312" w:eastAsia="仿宋_GB2312" w:cs="仿宋_GB2312"/>
                <w:color w:val="000000"/>
                <w:sz w:val="24"/>
                <w:lang w:val="en-US" w:eastAsia="zh-CN"/>
              </w:rPr>
              <w:t>525.37</w:t>
            </w:r>
            <w:r>
              <w:rPr>
                <w:rFonts w:hint="eastAsia" w:ascii="宋体" w:hAnsi="宋体" w:cs="宋体"/>
                <w:color w:val="000000"/>
                <w:sz w:val="24"/>
                <w:lang w:val="en-US" w:eastAsia="zh-CN"/>
              </w:rPr>
              <w:t>万元，其中基本支出</w:t>
            </w:r>
            <w:r>
              <w:rPr>
                <w:rFonts w:hint="eastAsia" w:ascii="仿宋_GB2312" w:hAnsi="仿宋_GB2312" w:eastAsia="仿宋_GB2312" w:cs="仿宋_GB2312"/>
                <w:color w:val="000000"/>
                <w:sz w:val="24"/>
                <w:lang w:val="en-US" w:eastAsia="zh-CN"/>
              </w:rPr>
              <w:t>271</w:t>
            </w:r>
            <w:r>
              <w:rPr>
                <w:rFonts w:hint="eastAsia" w:ascii="宋体" w:hAnsi="宋体" w:cs="宋体"/>
                <w:color w:val="000000"/>
                <w:sz w:val="24"/>
                <w:lang w:val="en-US" w:eastAsia="zh-CN"/>
              </w:rPr>
              <w:t>万元，项目支出</w:t>
            </w:r>
            <w:r>
              <w:rPr>
                <w:rFonts w:hint="eastAsia" w:ascii="仿宋_GB2312" w:hAnsi="仿宋_GB2312" w:eastAsia="仿宋_GB2312" w:cs="仿宋_GB2312"/>
                <w:color w:val="000000"/>
                <w:sz w:val="24"/>
                <w:lang w:val="en-US" w:eastAsia="zh-CN"/>
              </w:rPr>
              <w:t>254.37</w:t>
            </w:r>
            <w:r>
              <w:rPr>
                <w:rFonts w:hint="eastAsia" w:ascii="宋体" w:hAnsi="宋体" w:cs="宋体"/>
                <w:color w:val="000000"/>
                <w:sz w:val="24"/>
                <w:lang w:val="en-US" w:eastAsia="zh-CN"/>
              </w:rPr>
              <w:t>万元。中心坚持“依章办事、服务大局、围绕中心、突出重点、求真务实”的工作方针，对各项支出严格按照预算额度进行压缩控制，按照国家财经法规和机关财务管理制度规定，做到专款专用，专人保管，加强预算管理的执行力度，确保资金安全，降低运行成本，提高管理效率和履职效能，实现了良好的社会效应和可持续发展的目标，扩大了群众对中心工作的认可度和满意度，使部门整体支出使用效果达到了预期。</w:t>
            </w:r>
          </w:p>
          <w:p>
            <w:pPr>
              <w:spacing w:line="480" w:lineRule="exact"/>
              <w:ind w:firstLine="480" w:firstLineChars="200"/>
              <w:jc w:val="left"/>
              <w:rPr>
                <w:rFonts w:hint="eastAsia" w:ascii="仿宋_GB2312" w:hAnsi="宋体" w:eastAsia="仿宋_GB2312" w:cs="宋体"/>
                <w:color w:val="000000"/>
                <w:sz w:val="24"/>
              </w:rPr>
            </w:pPr>
          </w:p>
          <w:p>
            <w:pPr>
              <w:pStyle w:val="6"/>
              <w:spacing w:line="480" w:lineRule="exact"/>
              <w:ind w:firstLine="480"/>
              <w:jc w:val="left"/>
              <w:rPr>
                <w:rFonts w:hint="eastAsia" w:ascii="黑体" w:hAnsi="黑体" w:eastAsia="黑体" w:cs="黑体"/>
                <w:sz w:val="24"/>
                <w:szCs w:val="24"/>
              </w:rPr>
            </w:pPr>
            <w:r>
              <w:rPr>
                <w:rFonts w:hint="eastAsia" w:ascii="黑体" w:hAnsi="黑体" w:eastAsia="黑体" w:cs="黑体"/>
                <w:sz w:val="24"/>
                <w:szCs w:val="24"/>
              </w:rPr>
              <w:t>七、存在的问题及原因分析</w:t>
            </w:r>
          </w:p>
          <w:p>
            <w:pPr>
              <w:widowControl/>
              <w:spacing w:line="500" w:lineRule="exact"/>
              <w:ind w:firstLine="480" w:firstLineChars="200"/>
              <w:jc w:val="left"/>
              <w:rPr>
                <w:rFonts w:hint="eastAsia" w:ascii="宋体" w:hAnsi="宋体" w:cs="宋体"/>
                <w:sz w:val="24"/>
              </w:rPr>
            </w:pPr>
            <w:r>
              <w:rPr>
                <w:rFonts w:hint="eastAsia" w:ascii="宋体" w:hAnsi="宋体" w:cs="宋体"/>
                <w:sz w:val="24"/>
              </w:rPr>
              <w:t>1.资产管理制度</w:t>
            </w:r>
            <w:r>
              <w:rPr>
                <w:rFonts w:hint="eastAsia" w:ascii="宋体" w:hAnsi="宋体" w:cs="宋体"/>
                <w:sz w:val="24"/>
                <w:lang w:eastAsia="zh-CN"/>
              </w:rPr>
              <w:t>及相关内部控制措施有</w:t>
            </w:r>
            <w:r>
              <w:rPr>
                <w:rFonts w:hint="eastAsia" w:ascii="宋体" w:hAnsi="宋体" w:cs="宋体"/>
                <w:sz w:val="24"/>
              </w:rPr>
              <w:t>待进一步</w:t>
            </w:r>
            <w:r>
              <w:rPr>
                <w:rFonts w:hint="eastAsia" w:ascii="宋体" w:hAnsi="宋体" w:cs="宋体"/>
                <w:sz w:val="24"/>
                <w:lang w:eastAsia="zh-CN"/>
              </w:rPr>
              <w:t>完善</w:t>
            </w:r>
            <w:r>
              <w:rPr>
                <w:rFonts w:hint="eastAsia" w:ascii="宋体" w:hAnsi="宋体" w:cs="宋体"/>
                <w:sz w:val="24"/>
              </w:rPr>
              <w:t>。</w:t>
            </w:r>
          </w:p>
          <w:p>
            <w:pPr>
              <w:widowControl/>
              <w:spacing w:line="500" w:lineRule="exact"/>
              <w:ind w:firstLine="480" w:firstLineChars="200"/>
              <w:jc w:val="left"/>
              <w:rPr>
                <w:rFonts w:hint="eastAsia" w:ascii="宋体" w:hAnsi="宋体" w:cs="宋体"/>
                <w:sz w:val="24"/>
              </w:rPr>
            </w:pPr>
            <w:r>
              <w:rPr>
                <w:rFonts w:hint="eastAsia" w:ascii="宋体" w:hAnsi="宋体" w:cs="宋体"/>
                <w:sz w:val="24"/>
              </w:rPr>
              <w:t>2.固定资产有效利用有待进一步改进。</w:t>
            </w:r>
          </w:p>
          <w:p>
            <w:p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八、下一步改进措施</w:t>
            </w:r>
          </w:p>
          <w:p>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1.进一步</w:t>
            </w:r>
            <w:r>
              <w:rPr>
                <w:rFonts w:hint="eastAsia" w:ascii="宋体" w:hAnsi="宋体" w:eastAsia="宋体" w:cs="宋体"/>
                <w:sz w:val="24"/>
                <w:lang w:eastAsia="zh-CN"/>
              </w:rPr>
              <w:t>完善内部管理制度，</w:t>
            </w:r>
            <w:r>
              <w:rPr>
                <w:rFonts w:hint="eastAsia" w:ascii="宋体" w:hAnsi="宋体" w:eastAsia="宋体" w:cs="宋体"/>
                <w:sz w:val="24"/>
              </w:rPr>
              <w:t>提高各项内部管理制度执行效率，</w:t>
            </w:r>
            <w:r>
              <w:rPr>
                <w:rFonts w:hint="eastAsia" w:ascii="宋体" w:hAnsi="宋体" w:eastAsia="宋体" w:cs="宋体"/>
                <w:sz w:val="24"/>
                <w:lang w:eastAsia="zh-CN"/>
              </w:rPr>
              <w:t>细化</w:t>
            </w:r>
            <w:r>
              <w:rPr>
                <w:rFonts w:hint="eastAsia" w:ascii="宋体" w:hAnsi="宋体" w:eastAsia="宋体" w:cs="宋体"/>
                <w:sz w:val="24"/>
              </w:rPr>
              <w:t>资产管理制度，</w:t>
            </w:r>
            <w:r>
              <w:rPr>
                <w:rFonts w:hint="eastAsia" w:ascii="宋体" w:hAnsi="宋体" w:eastAsia="宋体" w:cs="宋体"/>
                <w:sz w:val="24"/>
                <w:lang w:eastAsia="zh-CN"/>
              </w:rPr>
              <w:t>使制度</w:t>
            </w:r>
            <w:r>
              <w:rPr>
                <w:rFonts w:hint="eastAsia" w:ascii="宋体" w:hAnsi="宋体" w:eastAsia="宋体" w:cs="宋体"/>
                <w:sz w:val="24"/>
              </w:rPr>
              <w:t>更贴合单位实际工作，</w:t>
            </w:r>
            <w:r>
              <w:rPr>
                <w:rFonts w:hint="eastAsia" w:ascii="宋体" w:hAnsi="宋体" w:eastAsia="宋体" w:cs="宋体"/>
                <w:sz w:val="24"/>
                <w:lang w:eastAsia="zh-CN"/>
              </w:rPr>
              <w:t>制度完善后</w:t>
            </w:r>
            <w:r>
              <w:rPr>
                <w:rFonts w:hint="eastAsia" w:ascii="宋体" w:hAnsi="宋体" w:eastAsia="宋体" w:cs="宋体"/>
                <w:sz w:val="24"/>
              </w:rPr>
              <w:t>严格遵守，按要求执行到底。</w:t>
            </w:r>
          </w:p>
          <w:p>
            <w:pPr>
              <w:widowControl/>
              <w:spacing w:line="500" w:lineRule="exact"/>
              <w:ind w:firstLine="480" w:firstLineChars="200"/>
              <w:jc w:val="left"/>
              <w:rPr>
                <w:rFonts w:hint="eastAsia" w:ascii="黑体" w:hAnsi="黑体" w:eastAsia="黑体" w:cs="黑体"/>
                <w:sz w:val="24"/>
              </w:rPr>
            </w:pPr>
            <w:r>
              <w:rPr>
                <w:rFonts w:hint="eastAsia" w:ascii="宋体" w:hAnsi="宋体" w:eastAsia="宋体" w:cs="宋体"/>
                <w:sz w:val="24"/>
              </w:rPr>
              <w:t>2.进一步提高固定资产利用效率，</w:t>
            </w:r>
            <w:r>
              <w:rPr>
                <w:rFonts w:hint="eastAsia" w:ascii="宋体" w:hAnsi="宋体" w:eastAsia="宋体" w:cs="宋体"/>
                <w:sz w:val="24"/>
                <w:lang w:eastAsia="zh-CN"/>
              </w:rPr>
              <w:t>加强日常维护与清查，</w:t>
            </w:r>
            <w:r>
              <w:rPr>
                <w:rFonts w:hint="eastAsia" w:ascii="宋体" w:hAnsi="宋体" w:eastAsia="宋体" w:cs="宋体"/>
                <w:sz w:val="24"/>
              </w:rPr>
              <w:t>让现有的固定资产发挥更大的作用。</w:t>
            </w:r>
            <w:r>
              <w:rPr>
                <w:rFonts w:hint="eastAsia" w:ascii="黑体" w:hAnsi="黑体" w:eastAsia="黑体" w:cs="黑体"/>
                <w:sz w:val="24"/>
              </w:rPr>
              <w:t xml:space="preserve"> </w:t>
            </w:r>
          </w:p>
          <w:p>
            <w:p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九、其他需要说明的情况</w:t>
            </w:r>
          </w:p>
          <w:p>
            <w:pPr>
              <w:spacing w:line="480" w:lineRule="exact"/>
              <w:ind w:firstLine="480" w:firstLineChars="200"/>
              <w:jc w:val="left"/>
              <w:rPr>
                <w:rFonts w:hint="eastAsia" w:ascii="黑体" w:hAnsi="黑体" w:eastAsia="黑体" w:cs="黑体"/>
                <w:sz w:val="24"/>
                <w:lang w:eastAsia="zh-CN"/>
              </w:rPr>
            </w:pPr>
            <w:r>
              <w:rPr>
                <w:rFonts w:hint="eastAsia" w:ascii="黑体" w:hAnsi="黑体" w:eastAsia="黑体" w:cs="黑体"/>
                <w:sz w:val="24"/>
                <w:lang w:eastAsia="zh-CN"/>
              </w:rPr>
              <w:t>无</w:t>
            </w:r>
          </w:p>
        </w:tc>
      </w:tr>
    </w:tbl>
    <w:p>
      <w:pPr>
        <w:spacing w:line="540" w:lineRule="exact"/>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540" w:lineRule="exact"/>
        <w:rPr>
          <w:rFonts w:hint="eastAsia" w:eastAsia="黑体" w:cs="黑体"/>
          <w:bCs/>
          <w:sz w:val="32"/>
          <w:szCs w:val="32"/>
        </w:rPr>
      </w:pPr>
    </w:p>
    <w:p>
      <w:pPr>
        <w:spacing w:line="540" w:lineRule="exact"/>
        <w:jc w:val="center"/>
        <w:rPr>
          <w:rFonts w:hint="eastAsia"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hint="eastAsia" w:eastAsia="仿宋_GB2312"/>
          <w:b/>
          <w:sz w:val="32"/>
        </w:rPr>
      </w:pPr>
    </w:p>
    <w:p>
      <w:pPr>
        <w:spacing w:line="540" w:lineRule="exact"/>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p>
    <w:p>
      <w:pPr>
        <w:spacing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p>
    <w:p>
      <w:pPr>
        <w:spacing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p>
    <w:p>
      <w:pPr>
        <w:spacing w:line="760" w:lineRule="exact"/>
        <w:ind w:firstLine="480" w:firstLineChars="150"/>
        <w:rPr>
          <w:rFonts w:hint="eastAsia"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hint="eastAsia"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jc w:val="center"/>
        <w:rPr>
          <w:rFonts w:hint="eastAsia" w:eastAsia="仿宋_GB2312"/>
          <w:sz w:val="32"/>
        </w:rPr>
      </w:pPr>
      <w:r>
        <w:rPr>
          <w:rFonts w:hint="eastAsia" w:eastAsia="仿宋_GB2312"/>
          <w:sz w:val="32"/>
        </w:rPr>
        <w:t>报告日期：   年   月   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hint="eastAsia" w:eastAsia="仿宋_GB2312"/>
          <w:sz w:val="32"/>
        </w:rPr>
      </w:pPr>
      <w:r>
        <w:rPr>
          <w:rFonts w:eastAsia="仿宋_GB2312"/>
          <w:sz w:val="32"/>
        </w:rPr>
        <w:br w:type="page"/>
      </w:r>
    </w:p>
    <w:tbl>
      <w:tblPr>
        <w:tblStyle w:val="3"/>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992"/>
        <w:gridCol w:w="1216"/>
        <w:gridCol w:w="1200"/>
        <w:gridCol w:w="1203"/>
        <w:gridCol w:w="1134"/>
        <w:gridCol w:w="828"/>
        <w:gridCol w:w="87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135" w:type="dxa"/>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864" w:type="dxa"/>
            <w:gridSpan w:val="8"/>
            <w:noWrap w:val="0"/>
            <w:vAlign w:val="center"/>
          </w:tcPr>
          <w:p>
            <w:pPr>
              <w:spacing w:line="360" w:lineRule="exact"/>
              <w:jc w:val="center"/>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135"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611" w:type="dxa"/>
            <w:gridSpan w:val="4"/>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35"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200" w:type="dxa"/>
            <w:noWrap w:val="0"/>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203" w:type="dxa"/>
            <w:noWrap w:val="0"/>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134" w:type="dxa"/>
            <w:noWrap w:val="0"/>
            <w:vAlign w:val="top"/>
          </w:tcPr>
          <w:p>
            <w:pPr>
              <w:spacing w:line="360" w:lineRule="exact"/>
              <w:jc w:val="center"/>
              <w:rPr>
                <w:rFonts w:hint="eastAsia"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828" w:type="dxa"/>
            <w:noWrap w:val="0"/>
            <w:vAlign w:val="center"/>
          </w:tcPr>
          <w:p>
            <w:pPr>
              <w:spacing w:line="360" w:lineRule="exact"/>
              <w:jc w:val="center"/>
              <w:rPr>
                <w:rFonts w:eastAsia="仿宋_GB2312"/>
                <w:szCs w:val="21"/>
              </w:rPr>
            </w:pPr>
            <w:r>
              <w:rPr>
                <w:rFonts w:eastAsia="仿宋_GB2312"/>
                <w:szCs w:val="21"/>
              </w:rPr>
              <w:t>分值</w:t>
            </w:r>
          </w:p>
        </w:tc>
        <w:tc>
          <w:tcPr>
            <w:tcW w:w="873" w:type="dxa"/>
            <w:noWrap w:val="0"/>
            <w:vAlign w:val="center"/>
          </w:tcPr>
          <w:p>
            <w:pPr>
              <w:spacing w:line="360" w:lineRule="exact"/>
              <w:jc w:val="center"/>
              <w:rPr>
                <w:rFonts w:eastAsia="仿宋_GB2312"/>
                <w:szCs w:val="21"/>
              </w:rPr>
            </w:pPr>
            <w:r>
              <w:rPr>
                <w:rFonts w:eastAsia="仿宋_GB2312"/>
                <w:szCs w:val="21"/>
              </w:rPr>
              <w:t>执行率</w:t>
            </w:r>
          </w:p>
        </w:tc>
        <w:tc>
          <w:tcPr>
            <w:tcW w:w="1418" w:type="dxa"/>
            <w:noWrap w:val="0"/>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10</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135" w:type="dxa"/>
            <w:vMerge w:val="restart"/>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611"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4611"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　　</w:t>
            </w:r>
          </w:p>
        </w:tc>
        <w:tc>
          <w:tcPr>
            <w:tcW w:w="4253" w:type="dxa"/>
            <w:gridSpan w:val="4"/>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135"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92" w:type="dxa"/>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一级</w:t>
            </w:r>
          </w:p>
          <w:p>
            <w:pPr>
              <w:spacing w:line="360" w:lineRule="exact"/>
              <w:jc w:val="center"/>
              <w:rPr>
                <w:rFonts w:eastAsia="仿宋_GB2312"/>
                <w:color w:val="000000"/>
                <w:kern w:val="0"/>
                <w:szCs w:val="21"/>
              </w:rPr>
            </w:pPr>
            <w:r>
              <w:rPr>
                <w:rFonts w:eastAsia="仿宋_GB2312"/>
                <w:color w:val="000000"/>
                <w:kern w:val="0"/>
                <w:szCs w:val="21"/>
              </w:rPr>
              <w:t>指标</w:t>
            </w:r>
          </w:p>
        </w:tc>
        <w:tc>
          <w:tcPr>
            <w:tcW w:w="1216"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二级指标</w:t>
            </w:r>
          </w:p>
        </w:tc>
        <w:tc>
          <w:tcPr>
            <w:tcW w:w="1200"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三级指标</w:t>
            </w:r>
          </w:p>
        </w:tc>
        <w:tc>
          <w:tcPr>
            <w:tcW w:w="1203"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年度</w:t>
            </w:r>
          </w:p>
          <w:p>
            <w:pPr>
              <w:spacing w:line="36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实际</w:t>
            </w:r>
          </w:p>
          <w:p>
            <w:pPr>
              <w:spacing w:line="36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产出</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(50分)</w:t>
            </w: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数量指标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质量指标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时效指标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成本指标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效益</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（30分）　</w:t>
            </w: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经济效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社会效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生态效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可持续影响指标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满意度</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  标</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（10分）</w:t>
            </w: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continue"/>
            <w:noWrap w:val="0"/>
            <w:vAlign w:val="center"/>
          </w:tcPr>
          <w:p>
            <w:pPr>
              <w:spacing w:line="360" w:lineRule="exact"/>
              <w:jc w:val="left"/>
              <w:rPr>
                <w:rFonts w:eastAsia="仿宋_GB2312"/>
                <w:color w:val="000000"/>
                <w:kern w:val="0"/>
                <w:szCs w:val="21"/>
              </w:rPr>
            </w:pPr>
          </w:p>
        </w:tc>
        <w:tc>
          <w:tcPr>
            <w:tcW w:w="1216" w:type="dxa"/>
            <w:vMerge w:val="continue"/>
            <w:noWrap w:val="0"/>
            <w:vAlign w:val="center"/>
          </w:tcPr>
          <w:p>
            <w:pPr>
              <w:spacing w:line="36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880" w:type="dxa"/>
            <w:gridSpan w:val="6"/>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总分</w:t>
            </w:r>
          </w:p>
        </w:tc>
        <w:tc>
          <w:tcPr>
            <w:tcW w:w="828" w:type="dxa"/>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100</w:t>
            </w:r>
          </w:p>
        </w:tc>
        <w:tc>
          <w:tcPr>
            <w:tcW w:w="873" w:type="dxa"/>
            <w:noWrap w:val="0"/>
            <w:vAlign w:val="center"/>
          </w:tcPr>
          <w:p>
            <w:pPr>
              <w:spacing w:line="360" w:lineRule="exact"/>
              <w:jc w:val="center"/>
              <w:rPr>
                <w:rFonts w:hint="eastAsia" w:ascii="仿宋_GB2312" w:eastAsia="仿宋_GB2312"/>
                <w:color w:val="000000"/>
                <w:kern w:val="0"/>
                <w:szCs w:val="21"/>
              </w:rPr>
            </w:pPr>
          </w:p>
        </w:tc>
        <w:tc>
          <w:tcPr>
            <w:tcW w:w="1418" w:type="dxa"/>
            <w:noWrap w:val="0"/>
            <w:vAlign w:val="center"/>
          </w:tcPr>
          <w:p>
            <w:pPr>
              <w:spacing w:line="360" w:lineRule="exact"/>
              <w:jc w:val="center"/>
              <w:rPr>
                <w:rFonts w:hint="eastAsia" w:ascii="仿宋_GB2312" w:eastAsia="仿宋_GB2312"/>
                <w:color w:val="000000"/>
                <w:kern w:val="0"/>
                <w:szCs w:val="21"/>
              </w:rPr>
            </w:pPr>
          </w:p>
        </w:tc>
      </w:tr>
    </w:tbl>
    <w:p>
      <w:pPr>
        <w:spacing w:line="320" w:lineRule="exact"/>
        <w:rPr>
          <w:rFonts w:eastAsia="仿宋_GB2312"/>
          <w:sz w:val="24"/>
        </w:rPr>
      </w:pPr>
      <w:r>
        <w:rPr>
          <w:rFonts w:eastAsia="仿宋_GB2312"/>
          <w:sz w:val="24"/>
        </w:rPr>
        <w:t>填表人：         填报日期：          联系电话：       单位负责人签字：</w:t>
      </w:r>
    </w:p>
    <w:tbl>
      <w:tblPr>
        <w:tblStyle w:val="3"/>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spacing w:line="480" w:lineRule="exact"/>
              <w:jc w:val="center"/>
              <w:rPr>
                <w:rFonts w:hint="eastAsia" w:eastAsia="仿宋_GB2312"/>
                <w:b/>
                <w:bCs/>
                <w:sz w:val="28"/>
                <w:szCs w:val="28"/>
              </w:rPr>
            </w:pPr>
            <w:r>
              <w:rPr>
                <w:rFonts w:eastAsia="黑体"/>
                <w:sz w:val="32"/>
                <w:szCs w:val="32"/>
              </w:rPr>
              <w:br w:type="page"/>
            </w:r>
            <w:r>
              <w:rPr>
                <w:rFonts w:hint="eastAsia" w:ascii="黑体" w:hAnsi="黑体" w:eastAsia="黑体"/>
                <w:bCs/>
                <w:sz w:val="28"/>
                <w:szCs w:val="28"/>
              </w:rPr>
              <w:t>五、评价报告综述</w:t>
            </w:r>
            <w:r>
              <w:rPr>
                <w:rFonts w:hint="eastAsia" w:eastAsia="仿宋_GB2312"/>
                <w:b/>
                <w:bCs/>
                <w:sz w:val="28"/>
                <w:szCs w:val="28"/>
              </w:rPr>
              <w:t>（参考提纲）</w:t>
            </w:r>
          </w:p>
          <w:p>
            <w:pPr>
              <w:spacing w:line="480" w:lineRule="exact"/>
              <w:ind w:firstLine="640" w:firstLineChars="200"/>
              <w:rPr>
                <w:rFonts w:hint="eastAsia" w:eastAsia="仿宋_GB2312"/>
                <w:sz w:val="32"/>
                <w:szCs w:val="32"/>
              </w:rPr>
            </w:pP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一、预算支出概况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（一）项目实施单位基本情况。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（二）预算资金基本情况包括预算资金基本性质、用途和主要内容、涉及范围等。</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（三）预算资金绩效目标，包括总体目标和年度目标。</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二、预算资金使用及管理情况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（一）预算资金及自筹资金的安排落实、总投入等情况。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（二）预算资金实际使用情况。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（三）预算资金管理情况分析，主要包括管理制度、办法的制订及执行情况。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三、预算支出组织实施情况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（一）资金使用管理情况，主要包括预算资金及项目管理制度建设、日常检查监督管理等情况。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（二）项目组织实施情况，主要包括项目招投标、调整、竣工验收等情况。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四、预算支出绩效情况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（一）预算支出决策情况。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（二）预算支出过程情况。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（三）预算支出产出情况。</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（四）预算支出效益情况。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五、主要经验做法、存在的问题及原因分析</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六、有关建议</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七、其他需要说明的问题</w:t>
            </w:r>
          </w:p>
          <w:p>
            <w:pPr>
              <w:adjustRightInd w:val="0"/>
              <w:snapToGrid w:val="0"/>
              <w:spacing w:line="480" w:lineRule="exact"/>
              <w:ind w:firstLine="480" w:firstLineChars="200"/>
              <w:rPr>
                <w:rFonts w:eastAsia="仿宋_GB2312"/>
                <w:sz w:val="24"/>
              </w:rPr>
            </w:pPr>
          </w:p>
          <w:p>
            <w:pPr>
              <w:spacing w:line="540" w:lineRule="exact"/>
              <w:rPr>
                <w:rFonts w:eastAsia="楷体_GB2312"/>
                <w:bCs/>
                <w:sz w:val="28"/>
                <w:szCs w:val="28"/>
              </w:rPr>
            </w:pPr>
          </w:p>
        </w:tc>
      </w:tr>
    </w:tbl>
    <w:p>
      <w:pPr>
        <w:spacing w:line="500" w:lineRule="exact"/>
        <w:rPr>
          <w:rFonts w:hint="eastAsia" w:ascii="黑体" w:hAnsi="黑体" w:eastAsia="黑体"/>
          <w:sz w:val="32"/>
          <w:szCs w:val="32"/>
        </w:rPr>
      </w:pPr>
      <w:r>
        <w:rPr>
          <w:rFonts w:hint="eastAsia" w:ascii="黑体" w:hAnsi="黑体" w:eastAsia="黑体"/>
          <w:sz w:val="32"/>
          <w:szCs w:val="32"/>
        </w:rPr>
        <w:t>附件3-1</w:t>
      </w:r>
    </w:p>
    <w:p>
      <w:pPr>
        <w:spacing w:line="420" w:lineRule="exact"/>
        <w:rPr>
          <w:rFonts w:hint="eastAsia" w:ascii="黑体" w:hAnsi="黑体" w:eastAsia="黑体"/>
          <w:sz w:val="32"/>
          <w:szCs w:val="32"/>
        </w:rPr>
      </w:pPr>
    </w:p>
    <w:p>
      <w:pPr>
        <w:spacing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3"/>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3"/>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460" w:lineRule="exact"/>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附件3-2</w:t>
      </w:r>
    </w:p>
    <w:p>
      <w:pPr>
        <w:spacing w:before="312" w:beforeLines="100"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3"/>
        <w:tblW w:w="9696" w:type="dxa"/>
        <w:jc w:val="center"/>
        <w:tblLayout w:type="fixed"/>
        <w:tblCellMar>
          <w:top w:w="0" w:type="dxa"/>
          <w:left w:w="108" w:type="dxa"/>
          <w:bottom w:w="0" w:type="dxa"/>
          <w:right w:w="108" w:type="dxa"/>
        </w:tblCellMar>
      </w:tblPr>
      <w:tblGrid>
        <w:gridCol w:w="580"/>
        <w:gridCol w:w="580"/>
        <w:gridCol w:w="580"/>
        <w:gridCol w:w="581"/>
        <w:gridCol w:w="696"/>
        <w:gridCol w:w="536"/>
        <w:gridCol w:w="2394"/>
        <w:gridCol w:w="2937"/>
        <w:gridCol w:w="812"/>
      </w:tblGrid>
      <w:tr>
        <w:tblPrEx>
          <w:tblCellMar>
            <w:top w:w="0" w:type="dxa"/>
            <w:left w:w="108" w:type="dxa"/>
            <w:bottom w:w="0" w:type="dxa"/>
            <w:right w:w="108" w:type="dxa"/>
          </w:tblCellMar>
        </w:tblPrEx>
        <w:trPr>
          <w:trHeight w:val="48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0"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580"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1"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96"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36"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2394"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具体指标</w:t>
            </w:r>
          </w:p>
        </w:tc>
        <w:tc>
          <w:tcPr>
            <w:tcW w:w="2937"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评价标准</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hint="eastAsia" w:ascii="黑体" w:hAnsi="黑体" w:eastAsia="黑体" w:cs="宋体"/>
                <w:bCs/>
                <w:kern w:val="0"/>
                <w:sz w:val="18"/>
                <w:szCs w:val="18"/>
              </w:rPr>
            </w:pPr>
            <w:r>
              <w:rPr>
                <w:rFonts w:hint="eastAsia" w:ascii="黑体" w:hAnsi="黑体" w:eastAsia="黑体" w:cs="宋体"/>
                <w:bCs/>
                <w:kern w:val="0"/>
                <w:sz w:val="18"/>
                <w:szCs w:val="18"/>
              </w:rPr>
              <w:t>自评</w:t>
            </w:r>
          </w:p>
          <w:p>
            <w:pPr>
              <w:spacing w:line="200" w:lineRule="exact"/>
              <w:jc w:val="center"/>
              <w:rPr>
                <w:rFonts w:ascii="黑体" w:hAnsi="黑体" w:eastAsia="黑体" w:cs="宋体"/>
                <w:bCs/>
                <w:kern w:val="0"/>
                <w:sz w:val="24"/>
              </w:rPr>
            </w:pPr>
            <w:r>
              <w:rPr>
                <w:rFonts w:hint="eastAsia" w:ascii="黑体" w:hAnsi="黑体" w:eastAsia="黑体" w:cs="宋体"/>
                <w:bCs/>
                <w:kern w:val="0"/>
                <w:sz w:val="18"/>
                <w:szCs w:val="18"/>
              </w:rPr>
              <w:t>得分</w:t>
            </w:r>
          </w:p>
        </w:tc>
      </w:tr>
      <w:tr>
        <w:tblPrEx>
          <w:tblCellMar>
            <w:top w:w="0" w:type="dxa"/>
            <w:left w:w="108" w:type="dxa"/>
            <w:bottom w:w="0" w:type="dxa"/>
            <w:right w:w="108" w:type="dxa"/>
          </w:tblCellMar>
        </w:tblPrEx>
        <w:trPr>
          <w:trHeight w:val="967" w:hRule="atLeast"/>
          <w:jc w:val="center"/>
        </w:trPr>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81"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83"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③项目调整履行了相应手续（1分）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8"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此项需提供相应的资金分配方案。</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580" w:type="dxa"/>
            <w:vMerge w:val="restart"/>
            <w:tcBorders>
              <w:top w:val="nil"/>
              <w:left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管理 </w:t>
            </w:r>
          </w:p>
        </w:tc>
        <w:tc>
          <w:tcPr>
            <w:tcW w:w="580" w:type="dxa"/>
            <w:vMerge w:val="restart"/>
            <w:tcBorders>
              <w:top w:val="nil"/>
              <w:left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到位率</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②不及时但未影响项目进度 （1分）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③不及时并影响项目进度（0.5分）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580" w:type="dxa"/>
            <w:vMerge w:val="continue"/>
            <w:tcBorders>
              <w:left w:val="single" w:color="000000" w:sz="4" w:space="0"/>
              <w:right w:val="single" w:color="000000" w:sz="4" w:space="0"/>
            </w:tcBorders>
            <w:shd w:val="clear" w:color="auto" w:fill="auto"/>
            <w:noWrap w:val="0"/>
            <w:textDirection w:val="tbRlV"/>
            <w:vAlign w:val="center"/>
          </w:tcPr>
          <w:p>
            <w:pPr>
              <w:spacing w:line="240" w:lineRule="exact"/>
              <w:jc w:val="center"/>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8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5"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9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3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2394"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具体指标</w:t>
            </w:r>
          </w:p>
        </w:tc>
        <w:tc>
          <w:tcPr>
            <w:tcW w:w="2937"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评价标准</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黑体" w:hAnsi="黑体" w:eastAsia="黑体" w:cs="宋体"/>
                <w:bCs/>
                <w:kern w:val="0"/>
                <w:sz w:val="18"/>
                <w:szCs w:val="18"/>
              </w:rPr>
            </w:pPr>
            <w:r>
              <w:rPr>
                <w:rFonts w:hint="eastAsia" w:ascii="黑体" w:hAnsi="黑体" w:eastAsia="黑体" w:cs="宋体"/>
                <w:bCs/>
                <w:kern w:val="0"/>
                <w:sz w:val="18"/>
                <w:szCs w:val="18"/>
              </w:rPr>
              <w:t>自评</w:t>
            </w:r>
          </w:p>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得分</w:t>
            </w:r>
          </w:p>
        </w:tc>
      </w:tr>
      <w:tr>
        <w:tblPrEx>
          <w:tblCellMar>
            <w:top w:w="0" w:type="dxa"/>
            <w:left w:w="108" w:type="dxa"/>
            <w:bottom w:w="0" w:type="dxa"/>
            <w:right w:w="108" w:type="dxa"/>
          </w:tblCellMar>
        </w:tblPrEx>
        <w:trPr>
          <w:trHeight w:val="759" w:hRule="atLeast"/>
          <w:jc w:val="center"/>
        </w:trPr>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81"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9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3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937"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9"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9"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60" w:hRule="atLeast"/>
          <w:jc w:val="center"/>
        </w:trPr>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31" w:hRule="atLeast"/>
          <w:jc w:val="center"/>
        </w:trPr>
        <w:tc>
          <w:tcPr>
            <w:tcW w:w="580" w:type="dxa"/>
            <w:vMerge w:val="restart"/>
            <w:tcBorders>
              <w:top w:val="single" w:color="auto" w:sz="4" w:space="0"/>
              <w:left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绩效</w:t>
            </w:r>
          </w:p>
        </w:tc>
        <w:tc>
          <w:tcPr>
            <w:tcW w:w="580" w:type="dxa"/>
            <w:vMerge w:val="restart"/>
            <w:tcBorders>
              <w:top w:val="single" w:color="auto" w:sz="4" w:space="0"/>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8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17"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31"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7"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spacing w:val="-12"/>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937" w:type="dxa"/>
            <w:tcBorders>
              <w:top w:val="nil"/>
              <w:left w:val="nil"/>
              <w:bottom w:val="single" w:color="000000" w:sz="4" w:space="0"/>
              <w:right w:val="nil"/>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0"/>
                <w:sz w:val="24"/>
              </w:rPr>
            </w:pPr>
          </w:p>
        </w:tc>
      </w:tr>
      <w:tr>
        <w:tblPrEx>
          <w:tblCellMar>
            <w:top w:w="0" w:type="dxa"/>
            <w:left w:w="108" w:type="dxa"/>
            <w:bottom w:w="0" w:type="dxa"/>
            <w:right w:w="108" w:type="dxa"/>
          </w:tblCellMar>
        </w:tblPrEx>
        <w:trPr>
          <w:trHeight w:val="860" w:hRule="atLeast"/>
          <w:jc w:val="center"/>
        </w:trPr>
        <w:tc>
          <w:tcPr>
            <w:tcW w:w="580" w:type="dxa"/>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581"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394"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2937" w:type="dxa"/>
            <w:tcBorders>
              <w:top w:val="nil"/>
              <w:left w:val="nil"/>
              <w:bottom w:val="single" w:color="000000" w:sz="4" w:space="0"/>
              <w:right w:val="nil"/>
            </w:tcBorders>
            <w:noWrap w:val="0"/>
            <w:vAlign w:val="center"/>
          </w:tcPr>
          <w:p>
            <w:pPr>
              <w:spacing w:line="240" w:lineRule="exact"/>
              <w:jc w:val="center"/>
              <w:rPr>
                <w:rFonts w:ascii="仿宋_GB2312" w:hAnsi="宋体" w:eastAsia="仿宋_GB2312" w:cs="宋体"/>
                <w:b/>
                <w:bCs/>
                <w:kern w:val="0"/>
                <w:sz w:val="18"/>
                <w:szCs w:val="18"/>
              </w:rPr>
            </w:pP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b/>
                <w:bCs/>
                <w:kern w:val="0"/>
                <w:sz w:val="24"/>
              </w:rPr>
            </w:pPr>
          </w:p>
        </w:tc>
      </w:tr>
    </w:tbl>
    <w:p>
      <w:pPr>
        <w:adjustRightInd w:val="0"/>
        <w:snapToGrid w:val="0"/>
        <w:spacing w:line="240" w:lineRule="exact"/>
        <w:contextualSpacing/>
        <w:rPr>
          <w:rFonts w:hint="eastAsia" w:ascii="仿宋_GB2312" w:eastAsia="仿宋_GB2312"/>
        </w:rPr>
      </w:pPr>
    </w:p>
    <w:p>
      <w:pPr>
        <w:adjustRightInd w:val="0"/>
        <w:snapToGrid w:val="0"/>
        <w:spacing w:line="360" w:lineRule="exact"/>
        <w:ind w:firstLine="420" w:firstLineChars="20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line="600" w:lineRule="exact"/>
        <w:contextualSpacing/>
        <w:rPr>
          <w:rFonts w:hint="eastAsia" w:ascii="黑体" w:hAnsi="宋体" w:eastAsia="黑体" w:cs="黑体"/>
          <w:color w:val="000000"/>
          <w:kern w:val="0"/>
          <w:sz w:val="32"/>
          <w:szCs w:val="32"/>
          <w:lang w:bidi="ar"/>
        </w:rPr>
      </w:pPr>
      <w:r>
        <w:rPr>
          <w:rFonts w:ascii="仿宋_GB2312" w:eastAsia="仿宋_GB2312"/>
        </w:rPr>
        <w:br w:type="page"/>
      </w:r>
      <w:r>
        <w:rPr>
          <w:rFonts w:hint="eastAsia" w:ascii="黑体" w:hAnsi="宋体" w:eastAsia="黑体" w:cs="黑体"/>
          <w:color w:val="000000"/>
          <w:kern w:val="0"/>
          <w:sz w:val="32"/>
          <w:szCs w:val="32"/>
          <w:lang w:bidi="ar"/>
        </w:rPr>
        <w:t>附表4</w:t>
      </w:r>
    </w:p>
    <w:p>
      <w:pPr>
        <w:adjustRightInd w:val="0"/>
        <w:snapToGrid w:val="0"/>
        <w:spacing w:line="600" w:lineRule="exact"/>
        <w:contextualSpacing/>
        <w:rPr>
          <w:rFonts w:hint="eastAsia" w:ascii="黑体" w:hAnsi="宋体" w:eastAsia="黑体" w:cs="黑体"/>
          <w:color w:val="000000"/>
          <w:kern w:val="0"/>
          <w:sz w:val="32"/>
          <w:szCs w:val="32"/>
          <w:lang w:bidi="ar"/>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绩效评价结果征求意见的反馈函</w:t>
      </w:r>
    </w:p>
    <w:p>
      <w:pPr>
        <w:spacing w:line="60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（重点绩效评价项目用）</w:t>
      </w:r>
    </w:p>
    <w:p>
      <w:pPr>
        <w:spacing w:line="600" w:lineRule="exact"/>
        <w:jc w:val="center"/>
        <w:rPr>
          <w:rFonts w:hint="eastAsia" w:ascii="楷体_GB2312" w:hAnsi="楷体" w:eastAsia="楷体_GB2312" w:cs="楷体"/>
          <w:sz w:val="32"/>
          <w:szCs w:val="32"/>
        </w:rPr>
      </w:pPr>
    </w:p>
    <w:p>
      <w:pPr>
        <w:spacing w:line="60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pPr>
        <w:spacing w:line="600" w:lineRule="exact"/>
        <w:ind w:firstLine="640" w:firstLineChars="200"/>
        <w:rPr>
          <w:rFonts w:hint="eastAsia" w:eastAsia="仿宋_GB2312"/>
          <w:sz w:val="32"/>
          <w:szCs w:val="32"/>
        </w:rPr>
      </w:pPr>
      <w:r>
        <w:rPr>
          <w:rFonts w:eastAsia="仿宋_GB2312"/>
          <w:sz w:val="32"/>
          <w:szCs w:val="32"/>
        </w:rPr>
        <w:t xml:space="preserve">按照相关规定和绩效评价要求，根据贵单位的绩效自评报告和绩效评价工作组的现场评价情况，形成绩效评价报告。现将《×××绩效评价报告》反馈贵单位，请于  </w:t>
      </w:r>
      <w:r>
        <w:rPr>
          <w:rFonts w:hint="eastAsia" w:eastAsia="仿宋_GB2312"/>
          <w:sz w:val="32"/>
          <w:szCs w:val="32"/>
        </w:rPr>
        <w:t xml:space="preserve"> </w:t>
      </w:r>
      <w:r>
        <w:rPr>
          <w:rFonts w:eastAsia="仿宋_GB2312"/>
          <w:sz w:val="32"/>
          <w:szCs w:val="32"/>
        </w:rPr>
        <w:t xml:space="preserve">  年   月   日前提出书面意见或说明，逾期未复，视为无异议。</w:t>
      </w:r>
    </w:p>
    <w:p>
      <w:pPr>
        <w:spacing w:line="200" w:lineRule="exact"/>
        <w:ind w:firstLine="640" w:firstLineChars="200"/>
        <w:rPr>
          <w:rFonts w:hint="eastAsia" w:eastAsia="仿宋_GB2312"/>
          <w:sz w:val="32"/>
          <w:szCs w:val="32"/>
        </w:rPr>
      </w:pPr>
    </w:p>
    <w:tbl>
      <w:tblPr>
        <w:tblStyle w:val="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2" w:type="dxa"/>
            <w:noWrap w:val="0"/>
            <w:vAlign w:val="center"/>
          </w:tcPr>
          <w:p>
            <w:pPr>
              <w:spacing w:line="360" w:lineRule="exact"/>
              <w:ind w:firstLine="561"/>
              <w:jc w:val="center"/>
              <w:rPr>
                <w:rFonts w:ascii="黑体" w:hAnsi="黑体" w:eastAsia="黑体"/>
                <w:sz w:val="28"/>
                <w:szCs w:val="28"/>
              </w:rPr>
            </w:pPr>
            <w:r>
              <w:rPr>
                <w:rFonts w:ascii="黑体" w:hAnsi="黑体" w:eastAsia="黑体"/>
                <w:sz w:val="28"/>
                <w:szCs w:val="28"/>
              </w:rPr>
              <w:t>项目实施单位意见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1" w:hRule="atLeast"/>
          <w:jc w:val="center"/>
        </w:trPr>
        <w:tc>
          <w:tcPr>
            <w:tcW w:w="9162" w:type="dxa"/>
            <w:noWrap w:val="0"/>
            <w:vAlign w:val="top"/>
          </w:tcPr>
          <w:p>
            <w:pPr>
              <w:spacing w:line="540" w:lineRule="exact"/>
              <w:ind w:firstLine="140" w:firstLineChars="50"/>
              <w:rPr>
                <w:rFonts w:eastAsia="黑体"/>
                <w:sz w:val="28"/>
                <w:szCs w:val="28"/>
              </w:rPr>
            </w:pPr>
            <w:r>
              <w:rPr>
                <w:rFonts w:eastAsia="黑体"/>
                <w:sz w:val="28"/>
                <w:szCs w:val="28"/>
              </w:rPr>
              <w:t>一、对报告中“评价结论”的意见</w:t>
            </w: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二、对报告中“问题”和“建议”的意见</w:t>
            </w:r>
          </w:p>
          <w:p>
            <w:pPr>
              <w:spacing w:line="540" w:lineRule="exact"/>
              <w:ind w:firstLine="560"/>
              <w:rPr>
                <w:sz w:val="28"/>
                <w:szCs w:val="28"/>
              </w:rPr>
            </w:pP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三、其它意见或建议</w:t>
            </w:r>
          </w:p>
          <w:p>
            <w:pPr>
              <w:spacing w:line="540" w:lineRule="exact"/>
              <w:ind w:firstLine="560"/>
              <w:rPr>
                <w:sz w:val="28"/>
                <w:szCs w:val="28"/>
              </w:rPr>
            </w:pPr>
          </w:p>
          <w:p>
            <w:pPr>
              <w:spacing w:line="540" w:lineRule="exact"/>
              <w:ind w:firstLine="560"/>
              <w:rPr>
                <w:sz w:val="28"/>
                <w:szCs w:val="28"/>
              </w:rPr>
            </w:pPr>
          </w:p>
          <w:p>
            <w:pPr>
              <w:spacing w:line="540" w:lineRule="exact"/>
              <w:ind w:right="1280"/>
              <w:jc w:val="right"/>
              <w:rPr>
                <w:rFonts w:eastAsia="仿宋_GB2312"/>
                <w:sz w:val="28"/>
                <w:szCs w:val="28"/>
              </w:rPr>
            </w:pPr>
            <w:r>
              <w:rPr>
                <w:rFonts w:eastAsia="仿宋_GB2312"/>
                <w:sz w:val="28"/>
                <w:szCs w:val="28"/>
              </w:rPr>
              <w:t>单位（盖章）</w:t>
            </w:r>
          </w:p>
          <w:p>
            <w:pPr>
              <w:spacing w:line="540" w:lineRule="exact"/>
              <w:ind w:right="860"/>
              <w:jc w:val="right"/>
              <w:rPr>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日</w:t>
            </w:r>
          </w:p>
        </w:tc>
      </w:tr>
    </w:tbl>
    <w:p>
      <w:pPr>
        <w:spacing w:line="540" w:lineRule="exact"/>
        <w:jc w:val="left"/>
        <w:textAlignment w:val="center"/>
        <w:rPr>
          <w:rFonts w:hint="eastAsia" w:ascii="黑体" w:hAnsi="宋体" w:eastAsia="黑体" w:cs="黑体"/>
          <w:color w:val="000000"/>
          <w:kern w:val="0"/>
          <w:sz w:val="32"/>
          <w:szCs w:val="32"/>
          <w:lang w:bidi="ar"/>
        </w:rPr>
      </w:pPr>
      <w:r>
        <w:rPr>
          <w:rFonts w:ascii="仿宋_GB2312" w:eastAsia="仿宋_GB2312"/>
        </w:rPr>
        <w:br w:type="page"/>
      </w:r>
      <w:r>
        <w:rPr>
          <w:rFonts w:hint="eastAsia" w:ascii="黑体" w:hAnsi="宋体" w:eastAsia="黑体" w:cs="黑体"/>
          <w:color w:val="000000"/>
          <w:kern w:val="0"/>
          <w:sz w:val="32"/>
          <w:szCs w:val="32"/>
          <w:lang w:bidi="ar"/>
        </w:rPr>
        <w:t>附表5</w:t>
      </w:r>
    </w:p>
    <w:p>
      <w:pPr>
        <w:spacing w:before="312" w:beforeLines="100"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绩效评价结果整改报告书</w:t>
      </w:r>
    </w:p>
    <w:p>
      <w:pPr>
        <w:spacing w:before="93" w:beforeLines="30" w:after="156" w:afterLines="50" w:line="600" w:lineRule="exact"/>
        <w:jc w:val="center"/>
        <w:rPr>
          <w:sz w:val="28"/>
          <w:szCs w:val="28"/>
        </w:rPr>
      </w:pPr>
      <w:r>
        <w:rPr>
          <w:rFonts w:eastAsia="楷体_GB2312"/>
          <w:sz w:val="32"/>
          <w:szCs w:val="32"/>
        </w:rPr>
        <w:t>（参考格式）</w:t>
      </w:r>
    </w:p>
    <w:tbl>
      <w:tblPr>
        <w:tblStyle w:val="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54"/>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预算支出名称</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评价内容</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联系人及电话</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jc w:val="center"/>
        </w:trPr>
        <w:tc>
          <w:tcPr>
            <w:tcW w:w="9131" w:type="dxa"/>
            <w:gridSpan w:val="3"/>
            <w:noWrap w:val="0"/>
            <w:vAlign w:val="top"/>
          </w:tcPr>
          <w:p>
            <w:pPr>
              <w:spacing w:line="360" w:lineRule="exact"/>
              <w:ind w:right="-27" w:rightChars="-13"/>
              <w:jc w:val="center"/>
              <w:rPr>
                <w:rFonts w:hint="eastAsia" w:ascii="仿宋_GB2312" w:eastAsia="仿宋_GB2312"/>
                <w:sz w:val="24"/>
              </w:rPr>
            </w:pPr>
            <w:r>
              <w:rPr>
                <w:rFonts w:hint="eastAsia" w:ascii="仿宋_GB2312" w:eastAsia="仿宋_GB2312"/>
                <w:sz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578" w:type="dxa"/>
            <w:noWrap w:val="0"/>
            <w:vAlign w:val="center"/>
          </w:tcPr>
          <w:p>
            <w:pPr>
              <w:spacing w:line="360" w:lineRule="exact"/>
              <w:ind w:right="-27" w:rightChars="-13"/>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单位意见</w:t>
            </w:r>
          </w:p>
        </w:tc>
        <w:tc>
          <w:tcPr>
            <w:tcW w:w="7553" w:type="dxa"/>
            <w:gridSpan w:val="2"/>
            <w:noWrap w:val="0"/>
            <w:vAlign w:val="center"/>
          </w:tcPr>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r>
              <w:rPr>
                <w:rFonts w:hint="eastAsia" w:ascii="仿宋_GB2312" w:hAnsi="Times New Roman" w:eastAsia="仿宋_GB2312" w:cs="Times New Roman"/>
                <w:sz w:val="24"/>
              </w:rPr>
              <w:t>单位负责人签名：         单位（盖章）：          年   月    日</w:t>
            </w:r>
          </w:p>
        </w:tc>
      </w:tr>
    </w:tbl>
    <w:p>
      <w:pPr>
        <w:spacing w:line="540" w:lineRule="exact"/>
        <w:jc w:val="left"/>
        <w:textAlignment w:val="center"/>
        <w:rPr>
          <w:rFonts w:hint="eastAsia" w:ascii="仿宋_GB2312" w:hAnsi="宋体" w:eastAsia="仿宋_GB2312" w:cs="黑体"/>
          <w:color w:val="000000"/>
          <w:kern w:val="0"/>
          <w:sz w:val="32"/>
          <w:szCs w:val="32"/>
          <w:lang w:bidi="ar"/>
        </w:rPr>
      </w:pPr>
      <w:r>
        <w:rPr>
          <w:rFonts w:hint="eastAsia" w:ascii="仿宋_GB2312" w:hAnsi="宋体" w:eastAsia="仿宋_GB2312" w:cs="宋体"/>
          <w:b/>
          <w:szCs w:val="21"/>
        </w:rPr>
        <w:t>注</w:t>
      </w:r>
      <w:r>
        <w:rPr>
          <w:rFonts w:hint="eastAsia" w:ascii="仿宋_GB2312" w:hAnsi="宋体" w:eastAsia="仿宋_GB2312" w:cs="宋体"/>
          <w:bCs/>
          <w:szCs w:val="21"/>
        </w:rPr>
        <w:t>：绩效评价结果整改报告书应在收到绩效评价结果反馈意见后15天内交区财政局绩效管理股。</w:t>
      </w:r>
    </w:p>
    <w:p/>
    <w:sectPr>
      <w:footerReference r:id="rId5" w:type="default"/>
      <w:footerReference r:id="rId6" w:type="even"/>
      <w:pgSz w:w="11906" w:h="16838"/>
      <w:pgMar w:top="1814"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w:t>
    </w:r>
    <w:r>
      <w:rPr>
        <w:rFonts w:hint="eastAsia" w:ascii="仿宋_GB2312" w:eastAsia="仿宋_GB2312"/>
        <w:sz w:val="28"/>
        <w:szCs w:val="28"/>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27</w:t>
    </w:r>
    <w:r>
      <w:rPr>
        <w:rFonts w:hint="eastAsia" w:ascii="仿宋_GB2312" w:eastAsia="仿宋_GB2312"/>
        <w:sz w:val="28"/>
        <w:szCs w:val="28"/>
      </w:rPr>
      <w:fldChar w:fldCharType="end"/>
    </w:r>
    <w:r>
      <w:rPr>
        <w:rStyle w:val="5"/>
        <w:rFonts w:hint="eastAsia"/>
        <w:sz w:val="24"/>
        <w:szCs w:val="24"/>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34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63093"/>
    <w:multiLevelType w:val="singleLevel"/>
    <w:tmpl w:val="D1463093"/>
    <w:lvl w:ilvl="0" w:tentative="0">
      <w:start w:val="1"/>
      <w:numFmt w:val="chineseCounting"/>
      <w:suff w:val="nothing"/>
      <w:lvlText w:val="（%1）"/>
      <w:lvlJc w:val="left"/>
      <w:rPr>
        <w:rFonts w:hint="eastAsia"/>
      </w:rPr>
    </w:lvl>
  </w:abstractNum>
  <w:abstractNum w:abstractNumId="1">
    <w:nsid w:val="36DF59E0"/>
    <w:multiLevelType w:val="singleLevel"/>
    <w:tmpl w:val="36DF59E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mY5ZmMwYWZmY2M3ZTc5Y2E5OTU4NjA4NWQ4OTcifQ=="/>
  </w:docVars>
  <w:rsids>
    <w:rsidRoot w:val="32A009BC"/>
    <w:rsid w:val="27BB2D91"/>
    <w:rsid w:val="32A009BC"/>
    <w:rsid w:val="57E207EA"/>
    <w:rsid w:val="5986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uiPriority w:val="0"/>
  </w:style>
  <w:style w:type="paragraph" w:customStyle="1"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7517</Words>
  <Characters>8007</Characters>
  <Lines>0</Lines>
  <Paragraphs>0</Paragraphs>
  <TotalTime>54</TotalTime>
  <ScaleCrop>false</ScaleCrop>
  <LinksUpToDate>false</LinksUpToDate>
  <CharactersWithSpaces>8882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2022-07-18T01:11:00Z</dcterms:created>
  <dc:creator>下雨的季节</dc:creator>
  <cp:lastModifiedBy>下雨的季节</cp:lastModifiedBy>
  <cp:lastPrinted>2022-07-18T07:02:00Z</cp:lastPrinted>
  <dcterms:modified xsi:type="dcterms:W3CDTF">2022-07-19T06:51:05Z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A682FBD8D70248BB815D8D48269DD65C</vt:lpwstr>
  </property>
</Properties>
</file>