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bCs/>
          <w:sz w:val="32"/>
          <w:szCs w:val="32"/>
        </w:rPr>
      </w:pPr>
      <w:r>
        <w:rPr>
          <w:rFonts w:hint="eastAsia" w:ascii="黑体" w:hAnsi="黑体" w:eastAsia="黑体" w:cs="黑体"/>
          <w:bCs/>
          <w:sz w:val="32"/>
          <w:szCs w:val="32"/>
        </w:rPr>
        <w:t>附件2-1</w:t>
      </w:r>
    </w:p>
    <w:p>
      <w:pPr>
        <w:spacing w:line="600" w:lineRule="exact"/>
        <w:rPr>
          <w:rFonts w:hint="eastAsia" w:ascii="方正小标宋简体" w:hAnsi="黑体" w:eastAsia="方正小标宋简体" w:cs="黑体"/>
          <w:bCs/>
          <w:sz w:val="44"/>
          <w:szCs w:val="44"/>
        </w:rPr>
      </w:pPr>
    </w:p>
    <w:p>
      <w:pPr>
        <w:spacing w:line="60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岳阳市云溪区</w:t>
      </w:r>
      <w:r>
        <w:rPr>
          <w:rFonts w:hint="eastAsia" w:ascii="方正小标宋简体" w:eastAsia="方正小标宋简体"/>
          <w:bCs/>
          <w:sz w:val="44"/>
          <w:szCs w:val="44"/>
          <w:u w:val="single"/>
        </w:rPr>
        <w:t>2021</w:t>
      </w:r>
      <w:r>
        <w:rPr>
          <w:rFonts w:hint="eastAsia" w:ascii="方正小标宋简体" w:eastAsia="方正小标宋简体"/>
          <w:bCs/>
          <w:sz w:val="44"/>
          <w:szCs w:val="44"/>
        </w:rPr>
        <w:t>年度部门整体支出</w:t>
      </w:r>
    </w:p>
    <w:p>
      <w:pPr>
        <w:spacing w:line="60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绩效评价自评报告</w:t>
      </w:r>
    </w:p>
    <w:p>
      <w:pPr>
        <w:spacing w:line="600" w:lineRule="exact"/>
        <w:rPr>
          <w:rFonts w:hint="eastAsia" w:eastAsia="仿宋_GB2312"/>
          <w:b/>
          <w:sz w:val="32"/>
        </w:rPr>
      </w:pPr>
    </w:p>
    <w:p>
      <w:pPr>
        <w:spacing w:line="600" w:lineRule="exact"/>
        <w:rPr>
          <w:rFonts w:hint="eastAsia" w:eastAsia="仿宋_GB2312"/>
          <w:b/>
          <w:sz w:val="32"/>
        </w:rPr>
      </w:pPr>
      <w:r>
        <w:rPr>
          <w:rFonts w:hint="eastAsia" w:eastAsia="仿宋_GB2312"/>
          <w:b/>
          <w:sz w:val="32"/>
        </w:rPr>
        <w:t xml:space="preserve"> </w:t>
      </w:r>
    </w:p>
    <w:p>
      <w:pPr>
        <w:spacing w:line="600" w:lineRule="exact"/>
        <w:rPr>
          <w:rFonts w:hint="eastAsia" w:eastAsia="仿宋_GB2312"/>
          <w:b/>
          <w:sz w:val="32"/>
        </w:rPr>
      </w:pPr>
    </w:p>
    <w:p>
      <w:pPr>
        <w:spacing w:line="600" w:lineRule="exact"/>
        <w:rPr>
          <w:rFonts w:hint="eastAsia" w:eastAsia="仿宋_GB2312"/>
          <w:b/>
          <w:sz w:val="32"/>
        </w:rPr>
      </w:pPr>
    </w:p>
    <w:p>
      <w:pPr>
        <w:spacing w:line="800" w:lineRule="exact"/>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u w:val="single"/>
        </w:rPr>
        <w:t xml:space="preserve">岳阳市云溪区司法局  </w:t>
      </w:r>
      <w:r>
        <w:rPr>
          <w:rFonts w:hint="eastAsia" w:eastAsia="仿宋_GB2312"/>
          <w:sz w:val="32"/>
          <w:szCs w:val="32"/>
          <w:u w:val="single"/>
        </w:rPr>
        <w:t xml:space="preserve">                            </w:t>
      </w:r>
    </w:p>
    <w:p>
      <w:pPr>
        <w:spacing w:line="800" w:lineRule="exact"/>
        <w:ind w:firstLine="476" w:firstLineChars="150"/>
        <w:rPr>
          <w:rFonts w:hint="eastAsia" w:eastAsia="仿宋_GB2312"/>
          <w:sz w:val="32"/>
          <w:szCs w:val="32"/>
        </w:rPr>
      </w:pPr>
      <w:r>
        <w:rPr>
          <w:rFonts w:hint="eastAsia" w:eastAsia="仿宋_GB2312"/>
          <w:sz w:val="32"/>
          <w:szCs w:val="32"/>
        </w:rPr>
        <w:t>预算编码：</w:t>
      </w:r>
      <w:r>
        <w:rPr>
          <w:rFonts w:hint="eastAsia" w:eastAsia="仿宋_GB2312"/>
          <w:sz w:val="32"/>
          <w:szCs w:val="32"/>
          <w:u w:val="single"/>
        </w:rPr>
        <w:t xml:space="preserve">                                       </w:t>
      </w:r>
    </w:p>
    <w:p>
      <w:pPr>
        <w:spacing w:line="800" w:lineRule="exact"/>
        <w:ind w:firstLine="476" w:firstLineChars="150"/>
        <w:rPr>
          <w:rFonts w:hint="eastAsia" w:eastAsia="仿宋_GB2312"/>
          <w:sz w:val="32"/>
          <w:szCs w:val="32"/>
        </w:rPr>
      </w:pPr>
      <w:r>
        <w:rPr>
          <w:rFonts w:hint="eastAsia" w:eastAsia="仿宋_GB2312"/>
          <w:sz w:val="32"/>
          <w:szCs w:val="32"/>
        </w:rPr>
        <w:t>评价方式：部门（单位）绩效自评</w:t>
      </w:r>
    </w:p>
    <w:p>
      <w:pPr>
        <w:spacing w:line="800" w:lineRule="exact"/>
        <w:ind w:firstLine="476" w:firstLineChars="150"/>
        <w:rPr>
          <w:rFonts w:hint="eastAsia" w:eastAsia="仿宋_GB2312"/>
          <w:sz w:val="32"/>
          <w:szCs w:val="32"/>
        </w:rPr>
      </w:pPr>
      <w:r>
        <w:rPr>
          <w:rFonts w:hint="eastAsia" w:eastAsia="仿宋_GB2312"/>
          <w:sz w:val="32"/>
          <w:szCs w:val="32"/>
        </w:rPr>
        <w:t xml:space="preserve">评价机构：部门（单位）评价组   </w:t>
      </w:r>
    </w:p>
    <w:p>
      <w:pPr>
        <w:spacing w:line="600" w:lineRule="exact"/>
        <w:ind w:firstLine="2188" w:firstLineChars="690"/>
        <w:rPr>
          <w:rFonts w:hint="eastAsia" w:eastAsia="仿宋_GB2312"/>
          <w:sz w:val="32"/>
        </w:rPr>
      </w:pPr>
    </w:p>
    <w:p>
      <w:pPr>
        <w:spacing w:line="600" w:lineRule="exact"/>
        <w:ind w:firstLine="2188" w:firstLineChars="690"/>
        <w:rPr>
          <w:rFonts w:hint="eastAsia" w:eastAsia="仿宋_GB2312"/>
          <w:sz w:val="32"/>
        </w:rPr>
      </w:pPr>
    </w:p>
    <w:p>
      <w:pPr>
        <w:spacing w:line="600" w:lineRule="exact"/>
        <w:ind w:firstLine="2188" w:firstLineChars="690"/>
        <w:rPr>
          <w:rFonts w:hint="eastAsia" w:eastAsia="仿宋_GB2312"/>
          <w:sz w:val="32"/>
        </w:rPr>
      </w:pPr>
    </w:p>
    <w:p>
      <w:pPr>
        <w:spacing w:line="600" w:lineRule="exact"/>
        <w:ind w:firstLine="2188" w:firstLineChars="690"/>
        <w:rPr>
          <w:rFonts w:hint="eastAsia" w:eastAsia="仿宋_GB2312"/>
          <w:sz w:val="32"/>
        </w:rPr>
      </w:pPr>
    </w:p>
    <w:p>
      <w:pPr>
        <w:spacing w:line="600" w:lineRule="exact"/>
        <w:ind w:firstLine="2188" w:firstLineChars="690"/>
        <w:rPr>
          <w:rFonts w:hint="eastAsia" w:eastAsia="仿宋_GB2312"/>
          <w:sz w:val="32"/>
        </w:rPr>
      </w:pPr>
    </w:p>
    <w:p>
      <w:pPr>
        <w:spacing w:line="600" w:lineRule="exact"/>
        <w:ind w:firstLine="2188" w:firstLineChars="690"/>
        <w:rPr>
          <w:rFonts w:hint="eastAsia" w:eastAsia="仿宋_GB2312"/>
          <w:sz w:val="32"/>
        </w:rPr>
      </w:pPr>
    </w:p>
    <w:p>
      <w:pPr>
        <w:spacing w:line="600" w:lineRule="exact"/>
        <w:jc w:val="center"/>
        <w:rPr>
          <w:rFonts w:hint="eastAsia" w:eastAsia="仿宋_GB2312"/>
          <w:sz w:val="32"/>
        </w:rPr>
      </w:pPr>
      <w:r>
        <w:rPr>
          <w:rFonts w:hint="eastAsia" w:eastAsia="仿宋_GB2312"/>
          <w:sz w:val="32"/>
        </w:rPr>
        <w:t>报告日期：</w:t>
      </w:r>
      <w:r>
        <w:rPr>
          <w:rFonts w:hint="eastAsia" w:eastAsia="仿宋_GB2312"/>
          <w:sz w:val="32"/>
          <w:lang w:val="en-US" w:eastAsia="zh-CN"/>
        </w:rPr>
        <w:t>2022</w:t>
      </w:r>
      <w:r>
        <w:rPr>
          <w:rFonts w:hint="eastAsia" w:eastAsia="仿宋_GB2312"/>
          <w:sz w:val="32"/>
        </w:rPr>
        <w:t xml:space="preserve">年 </w:t>
      </w:r>
      <w:r>
        <w:rPr>
          <w:rFonts w:hint="eastAsia" w:eastAsia="仿宋_GB2312"/>
          <w:sz w:val="32"/>
          <w:lang w:val="en-US" w:eastAsia="zh-CN"/>
        </w:rPr>
        <w:t>7</w:t>
      </w:r>
      <w:r>
        <w:rPr>
          <w:rFonts w:hint="eastAsia" w:eastAsia="仿宋_GB2312"/>
          <w:sz w:val="32"/>
        </w:rPr>
        <w:t>月</w:t>
      </w:r>
      <w:r>
        <w:rPr>
          <w:rFonts w:hint="eastAsia" w:eastAsia="仿宋_GB2312"/>
          <w:sz w:val="32"/>
          <w:lang w:val="en-US" w:eastAsia="zh-CN"/>
        </w:rPr>
        <w:t>14</w:t>
      </w:r>
      <w:r>
        <w:rPr>
          <w:rFonts w:hint="eastAsia" w:eastAsia="仿宋_GB2312"/>
          <w:sz w:val="32"/>
        </w:rPr>
        <w:t>日</w:t>
      </w:r>
    </w:p>
    <w:p>
      <w:pPr>
        <w:autoSpaceDN w:val="0"/>
        <w:spacing w:line="600" w:lineRule="exact"/>
        <w:jc w:val="center"/>
        <w:textAlignment w:val="center"/>
        <w:rPr>
          <w:rFonts w:hint="eastAsia" w:eastAsia="仿宋_GB2312"/>
          <w:sz w:val="32"/>
          <w:szCs w:val="32"/>
        </w:rPr>
        <w:sectPr>
          <w:footerReference r:id="rId3" w:type="default"/>
          <w:footerReference r:id="rId4" w:type="even"/>
          <w:pgSz w:w="11906" w:h="16838"/>
          <w:pgMar w:top="1814" w:right="1588" w:bottom="1701" w:left="1588" w:header="851" w:footer="1361" w:gutter="0"/>
          <w:pgNumType w:start="1"/>
          <w:cols w:space="720" w:num="1"/>
          <w:titlePg/>
          <w:docGrid w:type="linesAndChars" w:linePitch="602" w:charSpace="-782"/>
        </w:sectPr>
      </w:pPr>
      <w:r>
        <w:rPr>
          <w:rFonts w:hint="eastAsia" w:eastAsia="仿宋_GB2312"/>
          <w:sz w:val="32"/>
        </w:rPr>
        <w:t>岳阳市云溪区财政</w:t>
      </w:r>
      <w:r>
        <w:rPr>
          <w:rFonts w:hint="eastAsia" w:eastAsia="仿宋_GB2312"/>
          <w:sz w:val="32"/>
          <w:szCs w:val="32"/>
        </w:rPr>
        <w:t>局（制）</w:t>
      </w:r>
    </w:p>
    <w:tbl>
      <w:tblPr>
        <w:tblStyle w:val="3"/>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华文仿宋" w:hAnsi="华文仿宋" w:eastAsia="华文仿宋" w:cs="华文仿宋"/>
                <w:color w:val="000000"/>
                <w:sz w:val="24"/>
              </w:rPr>
              <w:t>杨柳</w:t>
            </w:r>
          </w:p>
        </w:tc>
        <w:tc>
          <w:tcPr>
            <w:tcW w:w="1479" w:type="dxa"/>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华文仿宋" w:hAnsi="华文仿宋" w:eastAsia="华文仿宋" w:cs="华文仿宋"/>
                <w:color w:val="000000"/>
                <w:sz w:val="24"/>
              </w:rPr>
              <w:t>15675038955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华文仿宋" w:hAnsi="华文仿宋" w:eastAsia="华文仿宋" w:cs="华文仿宋"/>
                <w:color w:val="000000"/>
                <w:sz w:val="24"/>
                <w:lang w:val="en-US" w:eastAsia="zh-CN"/>
              </w:rPr>
              <w:t>28</w:t>
            </w:r>
          </w:p>
        </w:tc>
        <w:tc>
          <w:tcPr>
            <w:tcW w:w="1479" w:type="dxa"/>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华文仿宋" w:hAnsi="华文仿宋" w:eastAsia="华文仿宋" w:cs="华文仿宋"/>
                <w:color w:val="000000"/>
                <w:sz w:val="24"/>
                <w:lang w:val="en-US" w:eastAsia="zh-CN"/>
              </w:rPr>
              <w:t>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r>
              <w:rPr>
                <w:rFonts w:hint="eastAsia" w:ascii="华文仿宋" w:hAnsi="华文仿宋" w:eastAsia="华文仿宋" w:cs="华文仿宋"/>
                <w:color w:val="000000"/>
                <w:sz w:val="24"/>
              </w:rPr>
              <w:t>1.承担全面依法治区重大问题的政策研究；2.指导全区规范文件管理有关工作，承担政府规范文件的合法性审查工作；3.承担统筹推进法治政府建设工作；4.负责对政府合同订立工作进行监督和指导；5承担统筹规划全区法治社会建设工作；6.指导、管理社区矫正工作，指导刑满释放人员安置帮教工作；7.拟订公共法律服务体系建设规划并指导实施，指导、监督法律援助、司法鉴定和基层法律服务管理工作；8.规划、协调、指导法治人才队伍建设相关工作。9.完成区委、区政府交办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noWrap w:val="0"/>
            <w:vAlign w:val="center"/>
          </w:tcPr>
          <w:p>
            <w:pPr>
              <w:autoSpaceDN w:val="0"/>
              <w:spacing w:line="400" w:lineRule="exact"/>
              <w:jc w:val="left"/>
              <w:textAlignment w:val="center"/>
              <w:rPr>
                <w:rFonts w:hint="eastAsia" w:ascii="华文仿宋" w:hAnsi="华文仿宋" w:eastAsia="华文仿宋" w:cs="华文仿宋"/>
                <w:color w:val="000000"/>
                <w:sz w:val="24"/>
                <w:lang w:eastAsia="zh-CN"/>
              </w:rPr>
            </w:pPr>
            <w:r>
              <w:rPr>
                <w:rFonts w:hint="eastAsia" w:ascii="华文仿宋" w:hAnsi="华文仿宋" w:eastAsia="华文仿宋" w:cs="华文仿宋"/>
                <w:color w:val="000000"/>
                <w:sz w:val="24"/>
              </w:rPr>
              <w:t>任务1：依法行政制度建设进一步完善</w:t>
            </w:r>
            <w:r>
              <w:rPr>
                <w:rFonts w:hint="eastAsia" w:ascii="华文仿宋" w:hAnsi="华文仿宋" w:eastAsia="华文仿宋" w:cs="华文仿宋"/>
                <w:color w:val="000000"/>
                <w:sz w:val="24"/>
                <w:lang w:eastAsia="zh-CN"/>
              </w:rPr>
              <w:t>，严格规范性文件合法审查。</w:t>
            </w:r>
          </w:p>
          <w:p>
            <w:pPr>
              <w:autoSpaceDN w:val="0"/>
              <w:spacing w:line="400" w:lineRule="exact"/>
              <w:jc w:val="left"/>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任务2：落实“一村（社区）一法律顾问”制度，打通公共法律服务与基层群众间的“最后一公里”。</w:t>
            </w:r>
          </w:p>
          <w:p>
            <w:pPr>
              <w:autoSpaceDN w:val="0"/>
              <w:spacing w:line="400" w:lineRule="exact"/>
              <w:jc w:val="left"/>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任务3：落实刑满释放人员帮教措施，建好帮教档案。</w:t>
            </w:r>
          </w:p>
          <w:p>
            <w:pPr>
              <w:autoSpaceDN w:val="0"/>
              <w:spacing w:line="400" w:lineRule="exact"/>
              <w:jc w:val="left"/>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任务4: 公共法律服务全流程、全地域网上提供服务</w:t>
            </w:r>
          </w:p>
          <w:p>
            <w:pPr>
              <w:autoSpaceDN w:val="0"/>
              <w:spacing w:line="360" w:lineRule="exact"/>
              <w:jc w:val="left"/>
              <w:textAlignment w:val="center"/>
              <w:rPr>
                <w:rFonts w:hint="eastAsia" w:ascii="仿宋_GB2312" w:hAnsi="仿宋_GB2312" w:eastAsia="仿宋_GB2312" w:cs="仿宋_GB2312"/>
                <w:color w:val="000000"/>
                <w:sz w:val="24"/>
              </w:rPr>
            </w:pPr>
            <w:r>
              <w:rPr>
                <w:rFonts w:hint="eastAsia" w:ascii="华文仿宋" w:hAnsi="华文仿宋" w:eastAsia="华文仿宋" w:cs="华文仿宋"/>
                <w:color w:val="000000"/>
                <w:sz w:val="24"/>
              </w:rPr>
              <w:t>任务5：人民调解“第一道防线”作用进一步发挥，积极推进人民参与法治建设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159" w:hRule="atLeast"/>
          <w:jc w:val="center"/>
        </w:trPr>
        <w:tc>
          <w:tcPr>
            <w:tcW w:w="1654"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年度部门（单位）总体运行</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情况及取得的成绩</w:t>
            </w:r>
          </w:p>
        </w:tc>
        <w:tc>
          <w:tcPr>
            <w:tcW w:w="8146" w:type="dxa"/>
            <w:gridSpan w:val="15"/>
            <w:noWrap w:val="0"/>
            <w:vAlign w:val="center"/>
          </w:tcPr>
          <w:p>
            <w:pPr>
              <w:autoSpaceDN w:val="0"/>
              <w:spacing w:line="400" w:lineRule="exact"/>
              <w:jc w:val="left"/>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lang w:val="en-US" w:eastAsia="zh-CN"/>
              </w:rPr>
              <w:t>1.</w:t>
            </w:r>
            <w:r>
              <w:rPr>
                <w:rFonts w:hint="eastAsia" w:ascii="华文仿宋" w:hAnsi="华文仿宋" w:eastAsia="华文仿宋" w:cs="华文仿宋"/>
                <w:color w:val="000000"/>
                <w:sz w:val="24"/>
              </w:rPr>
              <w:t>法律援助工作方面：办理法律援助案件</w:t>
            </w:r>
            <w:r>
              <w:rPr>
                <w:rFonts w:hint="eastAsia" w:ascii="华文仿宋" w:hAnsi="华文仿宋" w:eastAsia="华文仿宋" w:cs="华文仿宋"/>
                <w:color w:val="000000"/>
                <w:sz w:val="24"/>
                <w:lang w:val="en-US" w:eastAsia="zh-CN"/>
              </w:rPr>
              <w:t>98</w:t>
            </w:r>
            <w:r>
              <w:rPr>
                <w:rFonts w:hint="eastAsia" w:ascii="华文仿宋" w:hAnsi="华文仿宋" w:eastAsia="华文仿宋" w:cs="华文仿宋"/>
                <w:color w:val="000000"/>
                <w:sz w:val="24"/>
              </w:rPr>
              <w:t>件</w:t>
            </w:r>
            <w:r>
              <w:rPr>
                <w:rFonts w:hint="eastAsia" w:ascii="华文仿宋" w:hAnsi="华文仿宋" w:eastAsia="华文仿宋" w:cs="华文仿宋"/>
                <w:color w:val="000000"/>
                <w:sz w:val="24"/>
                <w:lang w:eastAsia="zh-CN"/>
              </w:rPr>
              <w:t>，提供咨询</w:t>
            </w:r>
            <w:r>
              <w:rPr>
                <w:rFonts w:hint="eastAsia" w:ascii="华文仿宋" w:hAnsi="华文仿宋" w:eastAsia="华文仿宋" w:cs="华文仿宋"/>
                <w:color w:val="000000"/>
                <w:sz w:val="24"/>
                <w:lang w:val="en-US" w:eastAsia="zh-CN"/>
              </w:rPr>
              <w:t>400余人次</w:t>
            </w:r>
            <w:r>
              <w:rPr>
                <w:rFonts w:hint="eastAsia" w:ascii="华文仿宋" w:hAnsi="华文仿宋" w:eastAsia="华文仿宋" w:cs="华文仿宋"/>
                <w:color w:val="000000"/>
                <w:sz w:val="24"/>
              </w:rPr>
              <w:t>。</w:t>
            </w:r>
          </w:p>
          <w:p>
            <w:pPr>
              <w:autoSpaceDN w:val="0"/>
              <w:spacing w:line="400" w:lineRule="exact"/>
              <w:jc w:val="left"/>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lang w:val="en-US" w:eastAsia="zh-CN"/>
              </w:rPr>
              <w:t>2.</w:t>
            </w:r>
            <w:r>
              <w:rPr>
                <w:rFonts w:hint="eastAsia" w:ascii="华文仿宋" w:hAnsi="华文仿宋" w:eastAsia="华文仿宋" w:cs="华文仿宋"/>
                <w:color w:val="000000"/>
                <w:sz w:val="24"/>
              </w:rPr>
              <w:t>“智慧矫正”建设方面：创新管理体制，着力推进队建制改革和“智慧”矫正建设工作。在社区矫正人员的管理上形成“五统一”的工作格局，提高司法公信力。</w:t>
            </w:r>
          </w:p>
          <w:p>
            <w:pPr>
              <w:autoSpaceDN w:val="0"/>
              <w:spacing w:line="400" w:lineRule="exact"/>
              <w:jc w:val="left"/>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3.安置帮教工作方面：20</w:t>
            </w:r>
            <w:r>
              <w:rPr>
                <w:rFonts w:hint="eastAsia" w:ascii="华文仿宋" w:hAnsi="华文仿宋" w:eastAsia="华文仿宋" w:cs="华文仿宋"/>
                <w:color w:val="000000"/>
                <w:sz w:val="24"/>
                <w:lang w:val="en-US" w:eastAsia="zh-CN"/>
              </w:rPr>
              <w:t>21</w:t>
            </w:r>
            <w:r>
              <w:rPr>
                <w:rFonts w:hint="eastAsia" w:ascii="华文仿宋" w:hAnsi="华文仿宋" w:eastAsia="华文仿宋" w:cs="华文仿宋"/>
                <w:color w:val="000000"/>
                <w:sz w:val="24"/>
              </w:rPr>
              <w:t>年我区共新接收刑释解矫人员</w:t>
            </w:r>
            <w:r>
              <w:rPr>
                <w:rFonts w:hint="eastAsia" w:ascii="华文仿宋" w:hAnsi="华文仿宋" w:eastAsia="华文仿宋" w:cs="华文仿宋"/>
                <w:color w:val="000000"/>
                <w:sz w:val="24"/>
                <w:lang w:val="en-US" w:eastAsia="zh-CN"/>
              </w:rPr>
              <w:t>70</w:t>
            </w:r>
            <w:r>
              <w:rPr>
                <w:rFonts w:hint="eastAsia" w:ascii="华文仿宋" w:hAnsi="华文仿宋" w:eastAsia="华文仿宋" w:cs="华文仿宋"/>
                <w:color w:val="000000"/>
                <w:sz w:val="24"/>
              </w:rPr>
              <w:t>人，全部已衔接，通过各种渠道都基本得了安置。</w:t>
            </w:r>
          </w:p>
          <w:p>
            <w:pPr>
              <w:autoSpaceDN w:val="0"/>
              <w:spacing w:line="400" w:lineRule="exact"/>
              <w:jc w:val="left"/>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4.公共法律服务工作方面：公共法律服务全流程、全地域网上提供服务，坚持如法网线上咨询工作日亮灯，使群众足不出户即可进行法律咨询、申请法律援助。</w:t>
            </w:r>
          </w:p>
          <w:p>
            <w:pPr>
              <w:autoSpaceDN w:val="0"/>
              <w:spacing w:line="400" w:lineRule="exact"/>
              <w:jc w:val="left"/>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5.人民调解工作方面：人民调解“第一道防线”作用进一步发挥，积极推进人民参与法治建设，认真学习“枫桥经验”，做到“小事不出村、大事不出镇（街道）、矛盾不上交”。</w:t>
            </w:r>
          </w:p>
          <w:p>
            <w:pPr>
              <w:autoSpaceDN w:val="0"/>
              <w:spacing w:line="36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vMerge w:val="continue"/>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720.02</w:t>
            </w: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19.17</w:t>
            </w:r>
          </w:p>
        </w:tc>
        <w:tc>
          <w:tcPr>
            <w:tcW w:w="1080"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700.85</w:t>
            </w:r>
          </w:p>
        </w:tc>
        <w:tc>
          <w:tcPr>
            <w:tcW w:w="1705" w:type="dxa"/>
            <w:gridSpan w:val="2"/>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720.02</w:t>
            </w: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19.17</w:t>
            </w:r>
          </w:p>
        </w:tc>
        <w:tc>
          <w:tcPr>
            <w:tcW w:w="1080"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700.85</w:t>
            </w:r>
          </w:p>
        </w:tc>
        <w:tc>
          <w:tcPr>
            <w:tcW w:w="1705" w:type="dxa"/>
            <w:gridSpan w:val="2"/>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705" w:type="dxa"/>
            <w:gridSpan w:val="2"/>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705" w:type="dxa"/>
            <w:gridSpan w:val="2"/>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36" w:hRule="atLeast"/>
          <w:jc w:val="center"/>
        </w:trPr>
        <w:tc>
          <w:tcPr>
            <w:tcW w:w="1700" w:type="dxa"/>
            <w:gridSpan w:val="3"/>
            <w:vMerge w:val="restart"/>
            <w:noWrap w:val="0"/>
            <w:vAlign w:val="center"/>
          </w:tcPr>
          <w:p>
            <w:pPr>
              <w:snapToGrid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37" w:hRule="atLeast"/>
          <w:jc w:val="center"/>
        </w:trPr>
        <w:tc>
          <w:tcPr>
            <w:tcW w:w="1700" w:type="dxa"/>
            <w:gridSpan w:val="3"/>
            <w:vMerge w:val="continue"/>
            <w:noWrap w:val="0"/>
            <w:vAlign w:val="center"/>
          </w:tcPr>
          <w:p>
            <w:pPr>
              <w:spacing w:line="36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37" w:hRule="atLeast"/>
          <w:jc w:val="center"/>
        </w:trPr>
        <w:tc>
          <w:tcPr>
            <w:tcW w:w="1700" w:type="dxa"/>
            <w:gridSpan w:val="3"/>
            <w:vMerge w:val="continue"/>
            <w:noWrap w:val="0"/>
            <w:vAlign w:val="center"/>
          </w:tcPr>
          <w:p>
            <w:pPr>
              <w:spacing w:line="36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355" w:type="dxa"/>
            <w:gridSpan w:val="2"/>
            <w:vMerge w:val="continue"/>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625" w:type="dxa"/>
            <w:vMerge w:val="continue"/>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89"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720.02</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720.02</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432.17</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287.85</w:t>
            </w:r>
          </w:p>
        </w:tc>
        <w:tc>
          <w:tcPr>
            <w:tcW w:w="1080" w:type="dxa"/>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720.02</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720.02</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432.17</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287.85</w:t>
            </w:r>
          </w:p>
        </w:tc>
        <w:tc>
          <w:tcPr>
            <w:tcW w:w="1080" w:type="dxa"/>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8"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9"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6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3.66</w:t>
            </w:r>
          </w:p>
        </w:tc>
        <w:tc>
          <w:tcPr>
            <w:tcW w:w="1355" w:type="dxa"/>
            <w:gridSpan w:val="2"/>
            <w:tcBorders>
              <w:left w:val="single" w:color="auto" w:sz="4" w:space="0"/>
            </w:tcBorders>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1.40</w:t>
            </w:r>
          </w:p>
        </w:tc>
        <w:tc>
          <w:tcPr>
            <w:tcW w:w="1080" w:type="dxa"/>
            <w:gridSpan w:val="2"/>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2.26</w:t>
            </w:r>
          </w:p>
        </w:tc>
        <w:tc>
          <w:tcPr>
            <w:tcW w:w="216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3.66</w:t>
            </w:r>
          </w:p>
        </w:tc>
        <w:tc>
          <w:tcPr>
            <w:tcW w:w="1355" w:type="dxa"/>
            <w:gridSpan w:val="2"/>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1.40</w:t>
            </w:r>
          </w:p>
        </w:tc>
        <w:tc>
          <w:tcPr>
            <w:tcW w:w="1080"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2.26</w:t>
            </w:r>
          </w:p>
        </w:tc>
        <w:tc>
          <w:tcPr>
            <w:tcW w:w="216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6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243.69</w:t>
            </w: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243.69</w:t>
            </w:r>
          </w:p>
        </w:tc>
        <w:tc>
          <w:tcPr>
            <w:tcW w:w="3644" w:type="dxa"/>
            <w:gridSpan w:val="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243.69</w:t>
            </w: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243.69</w:t>
            </w:r>
          </w:p>
        </w:tc>
        <w:tc>
          <w:tcPr>
            <w:tcW w:w="3644" w:type="dxa"/>
            <w:gridSpan w:val="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3644" w:type="dxa"/>
            <w:gridSpan w:val="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3644" w:type="dxa"/>
            <w:gridSpan w:val="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3774" w:type="dxa"/>
            <w:gridSpan w:val="7"/>
            <w:noWrap w:val="0"/>
            <w:vAlign w:val="center"/>
          </w:tcPr>
          <w:p>
            <w:pPr>
              <w:spacing w:line="360" w:lineRule="exact"/>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任务1：依法行政制度建设进一步完善</w:t>
            </w:r>
            <w:r>
              <w:rPr>
                <w:rFonts w:hint="eastAsia" w:ascii="仿宋_GB2312" w:hAnsi="仿宋_GB2312" w:eastAsia="仿宋_GB2312" w:cs="仿宋_GB2312"/>
                <w:color w:val="000000"/>
                <w:sz w:val="24"/>
                <w:lang w:eastAsia="zh-CN"/>
              </w:rPr>
              <w:t>，严格规范性文件合法审查。</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任务2：落实“一村（社区）一法律顾问”制度，打通</w:t>
            </w:r>
            <w:bookmarkStart w:id="0" w:name="_GoBack"/>
            <w:bookmarkEnd w:id="0"/>
            <w:r>
              <w:rPr>
                <w:rFonts w:hint="eastAsia" w:ascii="仿宋_GB2312" w:hAnsi="仿宋_GB2312" w:eastAsia="仿宋_GB2312" w:cs="仿宋_GB2312"/>
                <w:color w:val="000000"/>
                <w:sz w:val="24"/>
              </w:rPr>
              <w:t>公共法律服务与基层群众间的“最后一公里”。</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任务3：落实刑满释放人员帮教措施，建好帮教档案。</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任务4: 公共法律服务全流程、全地域网上提供服务</w:t>
            </w:r>
          </w:p>
          <w:p>
            <w:pPr>
              <w:spacing w:line="36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任务5：人民调解“第一道防线”作用进一步发挥，积极推进人民参与法治建设</w:t>
            </w:r>
          </w:p>
        </w:tc>
        <w:tc>
          <w:tcPr>
            <w:tcW w:w="4585" w:type="dxa"/>
            <w:gridSpan w:val="9"/>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华文仿宋" w:hAnsi="华文仿宋" w:eastAsia="华文仿宋" w:cs="华文仿宋"/>
                <w:color w:val="000000"/>
                <w:sz w:val="24"/>
                <w:lang w:eastAsia="zh-CN"/>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32"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restart"/>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p>
            <w:pPr>
              <w:autoSpaceDN w:val="0"/>
              <w:spacing w:line="400" w:lineRule="exact"/>
              <w:jc w:val="center"/>
              <w:textAlignment w:val="center"/>
              <w:rPr>
                <w:rFonts w:hint="eastAsia" w:ascii="仿宋_GB2312" w:hAnsi="仿宋_GB2312" w:eastAsia="仿宋_GB2312" w:cs="仿宋_GB2312"/>
                <w:kern w:val="2"/>
                <w:sz w:val="24"/>
                <w:szCs w:val="24"/>
                <w:lang w:val="en-US" w:eastAsia="zh-CN" w:bidi="ar-SA"/>
              </w:rPr>
            </w:pPr>
          </w:p>
        </w:tc>
        <w:tc>
          <w:tcPr>
            <w:tcW w:w="2709" w:type="dxa"/>
            <w:gridSpan w:val="4"/>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 w:eastAsia="仿宋_GB2312" w:cs="仿宋_GB2312"/>
                <w:color w:val="000000"/>
                <w:sz w:val="24"/>
              </w:rPr>
              <w:t>为全区经济社会发展创造良好的法治环境</w:t>
            </w:r>
          </w:p>
          <w:p>
            <w:pPr>
              <w:autoSpaceDN w:val="0"/>
              <w:spacing w:line="360" w:lineRule="exact"/>
              <w:jc w:val="left"/>
              <w:textAlignment w:val="center"/>
              <w:rPr>
                <w:rFonts w:hint="eastAsia" w:ascii="仿宋_GB2312" w:hAnsi="仿宋_GB2312" w:eastAsia="仿宋_GB2312" w:cs="仿宋_GB2312"/>
                <w:color w:val="000000"/>
                <w:sz w:val="24"/>
              </w:rPr>
            </w:pP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kern w:val="2"/>
                <w:sz w:val="24"/>
                <w:szCs w:val="24"/>
                <w:lang w:val="en-US" w:eastAsia="zh-CN" w:bidi="ar-SA"/>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60" w:lineRule="exact"/>
              <w:rPr>
                <w:rFonts w:hint="eastAsia" w:ascii="仿宋_GB2312" w:hAnsi="仿宋_GB2312" w:eastAsia="仿宋_GB2312" w:cs="仿宋_GB2312"/>
                <w:sz w:val="24"/>
              </w:rPr>
            </w:pPr>
          </w:p>
        </w:tc>
        <w:tc>
          <w:tcPr>
            <w:tcW w:w="1417" w:type="dxa"/>
            <w:gridSpan w:val="2"/>
            <w:vMerge w:val="restart"/>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指标1：</w:t>
            </w:r>
            <w:r>
              <w:rPr>
                <w:rFonts w:hint="eastAsia" w:ascii="仿宋_GB2312" w:hAnsi="仿宋" w:eastAsia="仿宋_GB2312" w:cs="仿宋_GB2312"/>
                <w:color w:val="000000"/>
                <w:sz w:val="24"/>
              </w:rPr>
              <w:t>开展法律宣传活动5次以上</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kern w:val="2"/>
                <w:sz w:val="24"/>
                <w:szCs w:val="24"/>
                <w:lang w:val="en-US" w:eastAsia="zh-CN" w:bidi="ar-SA"/>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6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6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40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指标2：</w:t>
            </w:r>
            <w:r>
              <w:rPr>
                <w:rFonts w:hint="eastAsia" w:ascii="仿宋_GB2312" w:hAnsi="仿宋" w:eastAsia="仿宋_GB2312" w:cs="仿宋_GB2312"/>
                <w:color w:val="000000"/>
                <w:sz w:val="24"/>
              </w:rPr>
              <w:t>调处各类矛盾纠纷500起以上</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kern w:val="2"/>
                <w:sz w:val="24"/>
                <w:szCs w:val="24"/>
                <w:lang w:val="en-US" w:eastAsia="zh-CN" w:bidi="ar-SA"/>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6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6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40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 w:eastAsia="仿宋_GB2312" w:cs="仿宋_GB2312"/>
                <w:color w:val="000000"/>
                <w:sz w:val="24"/>
              </w:rPr>
              <w:t>指标3：办理法律援助案件100件以上</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kern w:val="2"/>
                <w:sz w:val="24"/>
                <w:szCs w:val="24"/>
                <w:lang w:val="en-US" w:eastAsia="zh-CN" w:bidi="ar-SA"/>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32"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60" w:lineRule="exact"/>
              <w:rPr>
                <w:rFonts w:hint="eastAsia" w:ascii="仿宋_GB2312" w:hAnsi="仿宋_GB2312" w:eastAsia="仿宋_GB2312" w:cs="仿宋_GB2312"/>
                <w:sz w:val="24"/>
              </w:rPr>
            </w:pPr>
          </w:p>
        </w:tc>
        <w:tc>
          <w:tcPr>
            <w:tcW w:w="1417" w:type="dxa"/>
            <w:gridSpan w:val="2"/>
            <w:vMerge w:val="restart"/>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 w:eastAsia="仿宋_GB2312" w:cs="仿宋_GB2312"/>
                <w:color w:val="000000"/>
                <w:sz w:val="24"/>
              </w:rPr>
              <w:t>全年抓排查、重调处</w:t>
            </w:r>
          </w:p>
          <w:p>
            <w:pPr>
              <w:autoSpaceDN w:val="0"/>
              <w:spacing w:line="360" w:lineRule="exact"/>
              <w:jc w:val="left"/>
              <w:textAlignment w:val="center"/>
              <w:rPr>
                <w:rFonts w:hint="eastAsia" w:ascii="仿宋_GB2312" w:hAnsi="仿宋_GB2312" w:eastAsia="仿宋_GB2312" w:cs="仿宋_GB2312"/>
                <w:color w:val="000000"/>
                <w:sz w:val="24"/>
              </w:rPr>
            </w:pPr>
          </w:p>
        </w:tc>
        <w:tc>
          <w:tcPr>
            <w:tcW w:w="2684" w:type="dxa"/>
            <w:gridSpan w:val="6"/>
            <w:noWrap w:val="0"/>
            <w:vAlign w:val="center"/>
          </w:tcPr>
          <w:p>
            <w:pPr>
              <w:autoSpaceDN w:val="0"/>
              <w:spacing w:line="36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70"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6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 w:eastAsia="仿宋_GB2312" w:cs="仿宋_GB2312"/>
                <w:color w:val="000000"/>
                <w:sz w:val="24"/>
              </w:rPr>
              <w:t>投入司法行政工作专项资金100万元以上</w:t>
            </w:r>
          </w:p>
        </w:tc>
        <w:tc>
          <w:tcPr>
            <w:tcW w:w="2684" w:type="dxa"/>
            <w:gridSpan w:val="6"/>
            <w:noWrap w:val="0"/>
            <w:vAlign w:val="center"/>
          </w:tcPr>
          <w:p>
            <w:pPr>
              <w:autoSpaceDN w:val="0"/>
              <w:spacing w:line="36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restart"/>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 w:eastAsia="仿宋_GB2312" w:cs="仿宋_GB2312"/>
                <w:color w:val="000000"/>
                <w:sz w:val="24"/>
              </w:rPr>
              <w:t>排除调处矛盾纠纷，维护社会和谐稳定</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6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 w:eastAsia="仿宋_GB2312" w:cs="仿宋_GB2312"/>
                <w:color w:val="000000"/>
                <w:sz w:val="24"/>
              </w:rPr>
              <w:t>办理相关法律援助案件，</w:t>
            </w:r>
            <w:r>
              <w:rPr>
                <w:rFonts w:hint="eastAsia" w:ascii="仿宋_GB2312" w:hAnsi="仿宋_GB2312" w:eastAsia="仿宋_GB2312" w:cs="仿宋_GB2312"/>
                <w:color w:val="000000"/>
                <w:sz w:val="24"/>
              </w:rPr>
              <w:t>确保人民群众生命财产安全，减少经济损失</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6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指标1：创造良好的社会发展环境，促进经济发展</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6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指标1：社会公众比较满意</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陈勇</w:t>
            </w:r>
          </w:p>
        </w:tc>
        <w:tc>
          <w:tcPr>
            <w:tcW w:w="3561"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主任科员</w:t>
            </w:r>
          </w:p>
        </w:tc>
        <w:tc>
          <w:tcPr>
            <w:tcW w:w="1479" w:type="dxa"/>
            <w:noWrap w:val="0"/>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岳阳市云溪区司法局</w:t>
            </w:r>
          </w:p>
        </w:tc>
        <w:tc>
          <w:tcPr>
            <w:tcW w:w="3106" w:type="dxa"/>
            <w:gridSpan w:val="8"/>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张艾</w:t>
            </w:r>
          </w:p>
        </w:tc>
        <w:tc>
          <w:tcPr>
            <w:tcW w:w="3561"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出纳</w:t>
            </w:r>
          </w:p>
        </w:tc>
        <w:tc>
          <w:tcPr>
            <w:tcW w:w="1479" w:type="dxa"/>
            <w:noWrap w:val="0"/>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岳阳市云溪区司法局</w:t>
            </w:r>
          </w:p>
        </w:tc>
        <w:tc>
          <w:tcPr>
            <w:tcW w:w="3106" w:type="dxa"/>
            <w:gridSpan w:val="8"/>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杨柳</w:t>
            </w:r>
          </w:p>
        </w:tc>
        <w:tc>
          <w:tcPr>
            <w:tcW w:w="3561"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会计</w:t>
            </w:r>
          </w:p>
        </w:tc>
        <w:tc>
          <w:tcPr>
            <w:tcW w:w="1479" w:type="dxa"/>
            <w:noWrap w:val="0"/>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岳阳市云溪区司法局</w:t>
            </w:r>
          </w:p>
        </w:tc>
        <w:tc>
          <w:tcPr>
            <w:tcW w:w="3106" w:type="dxa"/>
            <w:gridSpan w:val="8"/>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3561" w:type="dxa"/>
            <w:gridSpan w:val="6"/>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479" w:type="dxa"/>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3106" w:type="dxa"/>
            <w:gridSpan w:val="8"/>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0" w:hRule="atLeast"/>
          <w:jc w:val="center"/>
        </w:trPr>
        <w:tc>
          <w:tcPr>
            <w:tcW w:w="9800" w:type="dxa"/>
            <w:gridSpan w:val="17"/>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60" w:lineRule="exact"/>
              <w:jc w:val="left"/>
              <w:textAlignment w:val="center"/>
              <w:rPr>
                <w:rFonts w:hint="eastAsia" w:ascii="仿宋_GB2312" w:hAnsi="仿宋_GB2312" w:eastAsia="仿宋_GB2312" w:cs="仿宋_GB2312"/>
                <w:color w:val="000000"/>
                <w:sz w:val="24"/>
              </w:rPr>
            </w:pPr>
          </w:p>
          <w:p>
            <w:pPr>
              <w:autoSpaceDN w:val="0"/>
              <w:spacing w:line="360" w:lineRule="exact"/>
              <w:jc w:val="left"/>
              <w:textAlignment w:val="center"/>
              <w:rPr>
                <w:rFonts w:hint="eastAsia" w:ascii="仿宋_GB2312" w:hAnsi="仿宋_GB2312" w:eastAsia="仿宋_GB2312" w:cs="仿宋_GB2312"/>
                <w:color w:val="000000"/>
                <w:sz w:val="24"/>
              </w:rPr>
            </w:pPr>
          </w:p>
          <w:p>
            <w:pPr>
              <w:autoSpaceDN w:val="0"/>
              <w:spacing w:line="360" w:lineRule="exact"/>
              <w:jc w:val="left"/>
              <w:textAlignment w:val="center"/>
              <w:rPr>
                <w:rFonts w:hint="eastAsia" w:ascii="仿宋_GB2312" w:hAnsi="仿宋_GB2312" w:eastAsia="仿宋_GB2312" w:cs="仿宋_GB2312"/>
                <w:color w:val="000000"/>
                <w:sz w:val="24"/>
              </w:rPr>
            </w:pPr>
          </w:p>
          <w:p>
            <w:pPr>
              <w:autoSpaceDN w:val="0"/>
              <w:spacing w:line="360" w:lineRule="exact"/>
              <w:jc w:val="left"/>
              <w:textAlignment w:val="center"/>
              <w:rPr>
                <w:rFonts w:hint="eastAsia" w:ascii="仿宋_GB2312" w:hAnsi="仿宋_GB2312" w:eastAsia="仿宋_GB2312" w:cs="仿宋_GB2312"/>
                <w:color w:val="000000"/>
                <w:sz w:val="24"/>
              </w:rPr>
            </w:pPr>
          </w:p>
          <w:p>
            <w:pPr>
              <w:autoSpaceDN w:val="0"/>
              <w:spacing w:line="36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190" w:hRule="atLeast"/>
          <w:jc w:val="center"/>
        </w:trPr>
        <w:tc>
          <w:tcPr>
            <w:tcW w:w="9800" w:type="dxa"/>
            <w:gridSpan w:val="17"/>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60" w:lineRule="exact"/>
              <w:jc w:val="left"/>
              <w:textAlignment w:val="center"/>
              <w:rPr>
                <w:rFonts w:hint="eastAsia" w:ascii="仿宋_GB2312" w:hAnsi="仿宋_GB2312" w:eastAsia="仿宋_GB2312" w:cs="仿宋_GB2312"/>
                <w:color w:val="000000"/>
                <w:sz w:val="24"/>
              </w:rPr>
            </w:pPr>
          </w:p>
          <w:p>
            <w:pPr>
              <w:autoSpaceDN w:val="0"/>
              <w:spacing w:line="360" w:lineRule="exact"/>
              <w:jc w:val="left"/>
              <w:textAlignment w:val="center"/>
              <w:rPr>
                <w:rFonts w:hint="eastAsia" w:ascii="仿宋_GB2312" w:hAnsi="仿宋_GB2312" w:eastAsia="仿宋_GB2312" w:cs="仿宋_GB2312"/>
                <w:color w:val="000000"/>
                <w:sz w:val="24"/>
              </w:rPr>
            </w:pPr>
          </w:p>
          <w:p>
            <w:pPr>
              <w:autoSpaceDN w:val="0"/>
              <w:spacing w:line="360" w:lineRule="exact"/>
              <w:jc w:val="left"/>
              <w:textAlignment w:val="center"/>
              <w:rPr>
                <w:rFonts w:hint="eastAsia" w:ascii="仿宋_GB2312" w:hAnsi="仿宋_GB2312" w:eastAsia="仿宋_GB2312" w:cs="仿宋_GB2312"/>
                <w:color w:val="000000"/>
                <w:sz w:val="24"/>
              </w:rPr>
            </w:pPr>
          </w:p>
          <w:p>
            <w:pPr>
              <w:autoSpaceDN w:val="0"/>
              <w:spacing w:line="36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6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60" w:hRule="atLeast"/>
          <w:jc w:val="center"/>
        </w:trPr>
        <w:tc>
          <w:tcPr>
            <w:tcW w:w="9800" w:type="dxa"/>
            <w:gridSpan w:val="17"/>
            <w:noWrap w:val="0"/>
            <w:vAlign w:val="center"/>
          </w:tcPr>
          <w:p>
            <w:pPr>
              <w:spacing w:line="360" w:lineRule="exact"/>
              <w:rPr>
                <w:rFonts w:hint="eastAsia" w:eastAsia="仿宋_GB2312"/>
                <w:sz w:val="24"/>
              </w:rPr>
            </w:pPr>
            <w:r>
              <w:rPr>
                <w:rFonts w:hint="eastAsia" w:eastAsia="仿宋_GB2312"/>
                <w:sz w:val="24"/>
              </w:rPr>
              <w:t>财政部门归口业务股室意见：</w:t>
            </w:r>
          </w:p>
          <w:p>
            <w:pPr>
              <w:spacing w:line="360" w:lineRule="exact"/>
              <w:rPr>
                <w:rFonts w:hint="eastAsia" w:eastAsia="仿宋_GB2312"/>
                <w:sz w:val="24"/>
              </w:rPr>
            </w:pPr>
          </w:p>
          <w:p>
            <w:pPr>
              <w:spacing w:line="360" w:lineRule="exact"/>
              <w:rPr>
                <w:rFonts w:hint="eastAsia" w:eastAsia="仿宋_GB2312"/>
                <w:sz w:val="24"/>
              </w:rPr>
            </w:pPr>
          </w:p>
          <w:p>
            <w:pPr>
              <w:spacing w:line="360" w:lineRule="exact"/>
              <w:rPr>
                <w:rFonts w:hint="eastAsia" w:eastAsia="仿宋_GB2312"/>
                <w:sz w:val="24"/>
              </w:rPr>
            </w:pPr>
          </w:p>
          <w:p>
            <w:pPr>
              <w:spacing w:line="360" w:lineRule="exact"/>
              <w:rPr>
                <w:rFonts w:hint="eastAsia" w:eastAsia="仿宋_GB2312"/>
                <w:sz w:val="24"/>
              </w:rPr>
            </w:pPr>
          </w:p>
          <w:p>
            <w:pPr>
              <w:spacing w:line="360" w:lineRule="exact"/>
              <w:rPr>
                <w:rFonts w:hint="eastAsia" w:eastAsia="仿宋_GB2312"/>
                <w:sz w:val="24"/>
              </w:rPr>
            </w:pPr>
            <w:r>
              <w:rPr>
                <w:rFonts w:hint="eastAsia" w:eastAsia="仿宋_GB2312"/>
                <w:sz w:val="24"/>
              </w:rPr>
              <w:t xml:space="preserve">                                  财政部门归口业务股室负责人（签章）：</w:t>
            </w:r>
          </w:p>
          <w:p>
            <w:pPr>
              <w:autoSpaceDN w:val="0"/>
              <w:spacing w:line="36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spacing w:line="540" w:lineRule="exact"/>
        <w:rPr>
          <w:rFonts w:hint="eastAsia" w:eastAsia="仿宋_GB2312" w:cs="仿宋_GB2312"/>
          <w:bCs/>
          <w:sz w:val="28"/>
          <w:szCs w:val="28"/>
        </w:rPr>
      </w:pPr>
      <w:r>
        <w:rPr>
          <w:rFonts w:hint="eastAsia" w:eastAsia="仿宋_GB2312" w:cs="仿宋_GB2312"/>
          <w:bCs/>
          <w:sz w:val="28"/>
          <w:szCs w:val="28"/>
        </w:rPr>
        <w:t>填报人（签名）：                          联系电话：</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noWrap w:val="0"/>
            <w:vAlign w:val="top"/>
          </w:tcPr>
          <w:p>
            <w:pPr>
              <w:spacing w:line="480" w:lineRule="exact"/>
              <w:jc w:val="center"/>
              <w:rPr>
                <w:rFonts w:hint="eastAsia" w:eastAsia="仿宋_GB2312"/>
                <w:sz w:val="32"/>
                <w:szCs w:val="32"/>
              </w:rPr>
            </w:pPr>
            <w:r>
              <w:rPr>
                <w:rFonts w:hint="eastAsia" w:ascii="黑体" w:hAnsi="黑体" w:eastAsia="黑体" w:cs="黑体"/>
                <w:bCs/>
                <w:sz w:val="28"/>
                <w:szCs w:val="28"/>
              </w:rPr>
              <w:t>五、评价报告综述</w:t>
            </w:r>
            <w:r>
              <w:rPr>
                <w:rFonts w:hint="eastAsia" w:eastAsia="仿宋_GB2312"/>
                <w:b/>
                <w:bCs/>
                <w:sz w:val="28"/>
                <w:szCs w:val="28"/>
              </w:rPr>
              <w:t>（参考提纲）</w:t>
            </w:r>
          </w:p>
          <w:p>
            <w:pPr>
              <w:ind w:firstLine="600" w:firstLineChars="200"/>
              <w:rPr>
                <w:rFonts w:hint="eastAsia" w:ascii="仿宋_GB2312" w:hAnsi="Calibri" w:eastAsia="仿宋_GB2312"/>
                <w:sz w:val="30"/>
                <w:szCs w:val="30"/>
              </w:rPr>
            </w:pPr>
            <w:r>
              <w:rPr>
                <w:rFonts w:hint="eastAsia" w:ascii="仿宋_GB2312" w:hAnsi="Calibri" w:eastAsia="仿宋_GB2312"/>
                <w:sz w:val="30"/>
                <w:szCs w:val="30"/>
              </w:rPr>
              <w:t>一、整体支出概况</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20</w:t>
            </w:r>
            <w:r>
              <w:rPr>
                <w:rFonts w:hint="eastAsia" w:ascii="仿宋_GB2312" w:hAnsi="仿宋" w:eastAsia="仿宋_GB2312"/>
                <w:sz w:val="30"/>
                <w:szCs w:val="30"/>
                <w:lang w:val="en-US" w:eastAsia="zh-CN"/>
              </w:rPr>
              <w:t>21</w:t>
            </w:r>
            <w:r>
              <w:rPr>
                <w:rFonts w:hint="eastAsia" w:ascii="仿宋_GB2312" w:hAnsi="仿宋" w:eastAsia="仿宋_GB2312"/>
                <w:sz w:val="30"/>
                <w:szCs w:val="30"/>
              </w:rPr>
              <w:t>年，总收入</w:t>
            </w:r>
            <w:r>
              <w:rPr>
                <w:rFonts w:hint="eastAsia" w:ascii="仿宋_GB2312" w:hAnsi="仿宋" w:eastAsia="仿宋_GB2312"/>
                <w:sz w:val="30"/>
                <w:szCs w:val="30"/>
                <w:lang w:val="en-US" w:eastAsia="zh-CN"/>
              </w:rPr>
              <w:t>720.02</w:t>
            </w:r>
            <w:r>
              <w:rPr>
                <w:rFonts w:hint="eastAsia" w:ascii="仿宋_GB2312" w:hAnsi="仿宋" w:eastAsia="仿宋_GB2312"/>
                <w:sz w:val="30"/>
                <w:szCs w:val="30"/>
              </w:rPr>
              <w:t>万元，其中财政拨款700.85万元，上年结转</w:t>
            </w:r>
            <w:r>
              <w:rPr>
                <w:rFonts w:hint="eastAsia" w:ascii="仿宋_GB2312" w:hAnsi="仿宋" w:eastAsia="仿宋_GB2312"/>
                <w:sz w:val="30"/>
                <w:szCs w:val="30"/>
                <w:lang w:val="en-US" w:eastAsia="zh-CN"/>
              </w:rPr>
              <w:t>19.17</w:t>
            </w:r>
            <w:r>
              <w:rPr>
                <w:rFonts w:hint="eastAsia" w:ascii="仿宋_GB2312" w:hAnsi="仿宋" w:eastAsia="仿宋_GB2312"/>
                <w:sz w:val="30"/>
                <w:szCs w:val="30"/>
              </w:rPr>
              <w:t>万元。总支出</w:t>
            </w:r>
            <w:r>
              <w:rPr>
                <w:rFonts w:hint="eastAsia" w:ascii="仿宋_GB2312" w:hAnsi="仿宋" w:eastAsia="仿宋_GB2312"/>
                <w:sz w:val="30"/>
                <w:szCs w:val="30"/>
                <w:lang w:val="en-US" w:eastAsia="zh-CN"/>
              </w:rPr>
              <w:t>720.02</w:t>
            </w:r>
            <w:r>
              <w:rPr>
                <w:rFonts w:hint="eastAsia" w:ascii="仿宋_GB2312" w:hAnsi="仿宋" w:eastAsia="仿宋_GB2312"/>
                <w:sz w:val="30"/>
                <w:szCs w:val="30"/>
              </w:rPr>
              <w:t>万元，基本支出</w:t>
            </w:r>
            <w:r>
              <w:rPr>
                <w:rFonts w:hint="eastAsia" w:ascii="仿宋_GB2312" w:hAnsi="仿宋" w:eastAsia="仿宋_GB2312"/>
                <w:sz w:val="30"/>
                <w:szCs w:val="30"/>
                <w:lang w:val="en-US" w:eastAsia="zh-CN"/>
              </w:rPr>
              <w:t>720.02</w:t>
            </w:r>
            <w:r>
              <w:rPr>
                <w:rFonts w:hint="eastAsia" w:ascii="仿宋_GB2312" w:hAnsi="仿宋" w:eastAsia="仿宋_GB2312"/>
                <w:sz w:val="30"/>
                <w:szCs w:val="30"/>
              </w:rPr>
              <w:t>万元，其中人员支出</w:t>
            </w:r>
            <w:r>
              <w:rPr>
                <w:rFonts w:hint="eastAsia" w:ascii="仿宋_GB2312" w:hAnsi="仿宋_GB2312" w:eastAsia="仿宋_GB2312" w:cs="仿宋_GB2312"/>
                <w:color w:val="000000"/>
                <w:sz w:val="24"/>
                <w:lang w:val="en-US" w:eastAsia="zh-CN"/>
              </w:rPr>
              <w:t>432.17</w:t>
            </w:r>
            <w:r>
              <w:rPr>
                <w:rFonts w:hint="eastAsia" w:ascii="仿宋_GB2312" w:hAnsi="仿宋" w:eastAsia="仿宋_GB2312"/>
                <w:sz w:val="30"/>
                <w:szCs w:val="30"/>
              </w:rPr>
              <w:t>万，公用支出</w:t>
            </w:r>
            <w:r>
              <w:rPr>
                <w:rFonts w:hint="eastAsia" w:ascii="仿宋_GB2312" w:hAnsi="仿宋" w:eastAsia="仿宋_GB2312"/>
                <w:sz w:val="30"/>
                <w:szCs w:val="30"/>
                <w:lang w:val="en-US" w:eastAsia="zh-CN"/>
              </w:rPr>
              <w:t>287.85</w:t>
            </w:r>
            <w:r>
              <w:rPr>
                <w:rFonts w:hint="eastAsia" w:ascii="仿宋_GB2312" w:hAnsi="仿宋" w:eastAsia="仿宋_GB2312"/>
                <w:sz w:val="30"/>
                <w:szCs w:val="30"/>
              </w:rPr>
              <w:t>万元。</w:t>
            </w:r>
          </w:p>
          <w:p>
            <w:pPr>
              <w:ind w:firstLine="600" w:firstLineChars="200"/>
              <w:rPr>
                <w:rFonts w:hint="eastAsia" w:ascii="仿宋_GB2312" w:hAnsi="仿宋" w:eastAsia="仿宋_GB2312"/>
                <w:bCs/>
                <w:sz w:val="30"/>
                <w:szCs w:val="30"/>
              </w:rPr>
            </w:pPr>
            <w:r>
              <w:rPr>
                <w:rFonts w:hint="eastAsia" w:ascii="仿宋_GB2312" w:hAnsi="仿宋" w:eastAsia="仿宋_GB2312"/>
                <w:bCs/>
                <w:sz w:val="30"/>
                <w:szCs w:val="30"/>
              </w:rPr>
              <w:t>二、资金使用及管理情况</w:t>
            </w:r>
          </w:p>
          <w:p>
            <w:pPr>
              <w:ind w:firstLine="600" w:firstLineChars="200"/>
              <w:rPr>
                <w:rFonts w:hint="eastAsia" w:ascii="仿宋_GB2312" w:hAnsi="仿宋" w:eastAsia="仿宋_GB2312"/>
                <w:bCs/>
                <w:sz w:val="30"/>
                <w:szCs w:val="30"/>
              </w:rPr>
            </w:pPr>
            <w:r>
              <w:rPr>
                <w:rFonts w:hint="eastAsia" w:ascii="仿宋_GB2312" w:hAnsi="仿宋" w:eastAsia="仿宋_GB2312"/>
                <w:bCs/>
                <w:sz w:val="30"/>
                <w:szCs w:val="30"/>
              </w:rPr>
              <w:t>资金使用和管理严格按照局机关年初制定的各项规章制度，严格一支笔审批，所有报销凭证，必须有经办人、办公室主任和审批人签字后方可报销。一次性开支50000元以上的需经局班子成员会议集体研究决定，否则不论何种情况，不能报销。</w:t>
            </w:r>
          </w:p>
          <w:p>
            <w:pPr>
              <w:ind w:firstLine="600" w:firstLineChars="200"/>
              <w:rPr>
                <w:rFonts w:hint="eastAsia" w:ascii="黑体" w:hAnsi="Calibri" w:eastAsia="黑体"/>
                <w:sz w:val="30"/>
                <w:szCs w:val="30"/>
              </w:rPr>
            </w:pPr>
            <w:r>
              <w:rPr>
                <w:rFonts w:hint="eastAsia" w:ascii="黑体" w:hAnsi="Calibri" w:eastAsia="黑体"/>
                <w:sz w:val="30"/>
                <w:szCs w:val="30"/>
              </w:rPr>
              <w:t>三、组织实施情况</w:t>
            </w:r>
          </w:p>
          <w:p>
            <w:pPr>
              <w:spacing w:line="480" w:lineRule="exact"/>
              <w:ind w:firstLine="600" w:firstLineChars="200"/>
              <w:jc w:val="left"/>
              <w:rPr>
                <w:rFonts w:ascii="黑体" w:hAnsi="黑体" w:eastAsia="黑体" w:cs="黑体"/>
                <w:bCs/>
                <w:sz w:val="28"/>
                <w:szCs w:val="28"/>
              </w:rPr>
            </w:pPr>
            <w:r>
              <w:rPr>
                <w:rFonts w:hint="eastAsia" w:ascii="仿宋_GB2312" w:hAnsi="Calibri" w:eastAsia="仿宋_GB2312"/>
                <w:sz w:val="30"/>
                <w:szCs w:val="30"/>
              </w:rPr>
              <w:t>我局修订了《云溪区司法局机关管理制度》，从财务管理制度、小车管理制度、公务接待制度、奖励制度等13个方面加以规范，以制度管人管事，由纪检组长负责日常的检查监督。</w:t>
            </w:r>
          </w:p>
        </w:tc>
      </w:tr>
    </w:tbl>
    <w:p>
      <w:pPr>
        <w:spacing w:line="500" w:lineRule="exact"/>
        <w:rPr>
          <w:rFonts w:hint="eastAsia" w:ascii="黑体" w:hAnsi="黑体" w:eastAsia="黑体"/>
          <w:sz w:val="32"/>
          <w:szCs w:val="32"/>
        </w:rPr>
      </w:pPr>
      <w:r>
        <w:rPr>
          <w:rFonts w:eastAsia="楷体_GB2312"/>
          <w:bCs/>
          <w:sz w:val="28"/>
          <w:szCs w:val="28"/>
        </w:rPr>
        <w:br w:type="page"/>
      </w:r>
      <w:r>
        <w:rPr>
          <w:rFonts w:hint="eastAsia" w:ascii="黑体" w:hAnsi="黑体" w:eastAsia="黑体"/>
          <w:sz w:val="32"/>
          <w:szCs w:val="32"/>
        </w:rPr>
        <w:t>附件3-1</w:t>
      </w:r>
    </w:p>
    <w:p>
      <w:pPr>
        <w:spacing w:line="420" w:lineRule="exact"/>
        <w:rPr>
          <w:rFonts w:hint="eastAsia" w:ascii="黑体" w:hAnsi="黑体" w:eastAsia="黑体"/>
          <w:sz w:val="32"/>
          <w:szCs w:val="32"/>
        </w:rPr>
      </w:pPr>
    </w:p>
    <w:p>
      <w:pPr>
        <w:spacing w:after="156" w:afterLines="50" w:line="500" w:lineRule="exact"/>
        <w:jc w:val="center"/>
        <w:rPr>
          <w:rFonts w:hint="eastAsia"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3"/>
        <w:tblW w:w="9835" w:type="dxa"/>
        <w:jc w:val="center"/>
        <w:tblLayout w:type="fixed"/>
        <w:tblCellMar>
          <w:top w:w="0" w:type="dxa"/>
          <w:left w:w="108" w:type="dxa"/>
          <w:bottom w:w="0" w:type="dxa"/>
          <w:right w:w="108" w:type="dxa"/>
        </w:tblCellMar>
      </w:tblPr>
      <w:tblGrid>
        <w:gridCol w:w="976"/>
        <w:gridCol w:w="939"/>
        <w:gridCol w:w="1345"/>
        <w:gridCol w:w="4215"/>
        <w:gridCol w:w="582"/>
        <w:gridCol w:w="658"/>
        <w:gridCol w:w="1120"/>
      </w:tblGrid>
      <w:tr>
        <w:tblPrEx>
          <w:tblCellMar>
            <w:top w:w="0" w:type="dxa"/>
            <w:left w:w="108" w:type="dxa"/>
            <w:bottom w:w="0" w:type="dxa"/>
            <w:right w:w="108" w:type="dxa"/>
          </w:tblCellMar>
        </w:tblPrEx>
        <w:trPr>
          <w:trHeight w:val="39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二级指标</w:t>
            </w:r>
          </w:p>
        </w:tc>
        <w:tc>
          <w:tcPr>
            <w:tcW w:w="1345" w:type="dxa"/>
            <w:tcBorders>
              <w:top w:val="single" w:color="auto" w:sz="4" w:space="0"/>
              <w:left w:val="nil"/>
              <w:bottom w:val="single" w:color="auto" w:sz="4" w:space="0"/>
              <w:right w:val="single" w:color="auto" w:sz="4" w:space="0"/>
            </w:tcBorders>
            <w:shd w:val="clear" w:color="auto" w:fill="auto"/>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三级指标</w:t>
            </w:r>
          </w:p>
        </w:tc>
        <w:tc>
          <w:tcPr>
            <w:tcW w:w="4215" w:type="dxa"/>
            <w:tcBorders>
              <w:top w:val="single" w:color="auto" w:sz="4" w:space="0"/>
              <w:left w:val="nil"/>
              <w:bottom w:val="single" w:color="auto" w:sz="4" w:space="0"/>
              <w:right w:val="single" w:color="auto" w:sz="4" w:space="0"/>
            </w:tcBorders>
            <w:shd w:val="clear" w:color="auto" w:fill="auto"/>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评分标准</w:t>
            </w:r>
          </w:p>
        </w:tc>
        <w:tc>
          <w:tcPr>
            <w:tcW w:w="582" w:type="dxa"/>
            <w:tcBorders>
              <w:top w:val="single" w:color="auto" w:sz="4" w:space="0"/>
              <w:left w:val="nil"/>
              <w:bottom w:val="single" w:color="auto" w:sz="4" w:space="0"/>
              <w:right w:val="single" w:color="auto" w:sz="4" w:space="0"/>
            </w:tcBorders>
            <w:shd w:val="clear" w:color="auto" w:fill="auto"/>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分值</w:t>
            </w:r>
          </w:p>
        </w:tc>
        <w:tc>
          <w:tcPr>
            <w:tcW w:w="658" w:type="dxa"/>
            <w:tcBorders>
              <w:top w:val="single" w:color="auto" w:sz="4" w:space="0"/>
              <w:left w:val="nil"/>
              <w:bottom w:val="single" w:color="auto" w:sz="4" w:space="0"/>
              <w:right w:val="single" w:color="auto" w:sz="4" w:space="0"/>
            </w:tcBorders>
            <w:shd w:val="clear" w:color="auto" w:fill="FFFFFF"/>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自评得分</w:t>
            </w:r>
          </w:p>
        </w:tc>
        <w:tc>
          <w:tcPr>
            <w:tcW w:w="1120" w:type="dxa"/>
            <w:tcBorders>
              <w:top w:val="single" w:color="auto" w:sz="4" w:space="0"/>
              <w:left w:val="nil"/>
              <w:bottom w:val="single" w:color="auto" w:sz="4" w:space="0"/>
              <w:right w:val="single" w:color="auto" w:sz="4" w:space="0"/>
            </w:tcBorders>
            <w:shd w:val="clear" w:color="auto" w:fill="FFFFFF"/>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扣分原因和其他说明</w:t>
            </w:r>
          </w:p>
        </w:tc>
      </w:tr>
      <w:tr>
        <w:tblPrEx>
          <w:tblCellMar>
            <w:top w:w="0" w:type="dxa"/>
            <w:left w:w="108" w:type="dxa"/>
            <w:bottom w:w="0" w:type="dxa"/>
            <w:right w:w="108" w:type="dxa"/>
          </w:tblCellMar>
        </w:tblPrEx>
        <w:trPr>
          <w:trHeight w:val="490"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投  入</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预算配置</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45" w:type="dxa"/>
            <w:tcBorders>
              <w:top w:val="nil"/>
              <w:left w:val="nil"/>
              <w:bottom w:val="single" w:color="auto" w:sz="4" w:space="0"/>
              <w:right w:val="single" w:color="auto" w:sz="4" w:space="0"/>
            </w:tcBorders>
            <w:noWrap w:val="0"/>
            <w:vAlign w:val="center"/>
          </w:tcPr>
          <w:p>
            <w:pPr>
              <w:spacing w:line="26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215" w:type="dxa"/>
            <w:tcBorders>
              <w:top w:val="nil"/>
              <w:left w:val="nil"/>
              <w:bottom w:val="single" w:color="auto" w:sz="4" w:space="0"/>
              <w:right w:val="single" w:color="auto" w:sz="4" w:space="0"/>
            </w:tcBorders>
            <w:noWrap w:val="0"/>
            <w:vAlign w:val="center"/>
          </w:tcPr>
          <w:p>
            <w:pPr>
              <w:spacing w:line="256"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p>
            <w:pPr>
              <w:spacing w:line="256" w:lineRule="exact"/>
              <w:rPr>
                <w:rFonts w:hint="eastAsia" w:ascii="仿宋_GB2312" w:hAnsi="宋体" w:eastAsia="仿宋_GB2312" w:cs="宋体"/>
                <w:kern w:val="0"/>
                <w:sz w:val="18"/>
                <w:szCs w:val="18"/>
              </w:rPr>
            </w:pPr>
          </w:p>
        </w:tc>
        <w:tc>
          <w:tcPr>
            <w:tcW w:w="582"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6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0</w:t>
            </w:r>
          </w:p>
        </w:tc>
        <w:tc>
          <w:tcPr>
            <w:tcW w:w="112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0"/>
                <w:szCs w:val="10"/>
              </w:rPr>
              <w:t>在职人员控制率为</w:t>
            </w:r>
            <w:r>
              <w:rPr>
                <w:rFonts w:hint="eastAsia" w:ascii="仿宋_GB2312" w:hAnsi="宋体" w:eastAsia="仿宋_GB2312" w:cs="宋体"/>
                <w:color w:val="000000"/>
                <w:kern w:val="0"/>
                <w:sz w:val="10"/>
                <w:szCs w:val="10"/>
                <w:lang w:val="en-US" w:eastAsia="zh-CN"/>
              </w:rPr>
              <w:t>132</w:t>
            </w:r>
            <w:r>
              <w:rPr>
                <w:rFonts w:hint="eastAsia" w:ascii="仿宋_GB2312" w:hAnsi="宋体" w:eastAsia="仿宋_GB2312" w:cs="宋体"/>
                <w:color w:val="000000"/>
                <w:kern w:val="0"/>
                <w:sz w:val="10"/>
                <w:szCs w:val="10"/>
              </w:rPr>
              <w:t>%</w:t>
            </w:r>
            <w:r>
              <w:rPr>
                <w:rFonts w:hint="eastAsia" w:ascii="仿宋_GB2312" w:hAnsi="宋体" w:eastAsia="仿宋_GB2312" w:cs="宋体"/>
                <w:color w:val="000000"/>
                <w:kern w:val="0"/>
                <w:sz w:val="10"/>
                <w:szCs w:val="10"/>
                <w:lang w:eastAsia="zh-CN"/>
              </w:rPr>
              <w:t>，</w:t>
            </w:r>
            <w:r>
              <w:rPr>
                <w:rFonts w:hint="eastAsia" w:ascii="仿宋_GB2312" w:hAnsi="宋体" w:eastAsia="仿宋_GB2312" w:cs="宋体"/>
                <w:color w:val="000000"/>
                <w:kern w:val="0"/>
                <w:sz w:val="10"/>
                <w:szCs w:val="10"/>
              </w:rPr>
              <w:t>该扣分</w:t>
            </w:r>
            <w:r>
              <w:rPr>
                <w:rFonts w:hint="eastAsia" w:ascii="仿宋_GB2312" w:hAnsi="宋体" w:eastAsia="仿宋_GB2312" w:cs="宋体"/>
                <w:color w:val="000000"/>
                <w:kern w:val="0"/>
                <w:sz w:val="10"/>
                <w:szCs w:val="10"/>
                <w:lang w:val="en-US" w:eastAsia="zh-CN"/>
              </w:rPr>
              <w:t>,5</w:t>
            </w:r>
            <w:r>
              <w:rPr>
                <w:rFonts w:hint="eastAsia" w:ascii="仿宋_GB2312" w:hAnsi="宋体" w:eastAsia="仿宋_GB2312" w:cs="宋体"/>
                <w:color w:val="000000"/>
                <w:kern w:val="0"/>
                <w:sz w:val="10"/>
                <w:szCs w:val="10"/>
              </w:rPr>
              <w:t>分</w:t>
            </w: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noWrap w:val="0"/>
            <w:vAlign w:val="center"/>
          </w:tcPr>
          <w:p>
            <w:pPr>
              <w:spacing w:line="26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215" w:type="dxa"/>
            <w:tcBorders>
              <w:top w:val="nil"/>
              <w:left w:val="nil"/>
              <w:bottom w:val="single" w:color="auto" w:sz="4" w:space="0"/>
              <w:right w:val="single" w:color="auto" w:sz="4" w:space="0"/>
            </w:tcBorders>
            <w:noWrap w:val="0"/>
            <w:vAlign w:val="center"/>
          </w:tcPr>
          <w:p>
            <w:pPr>
              <w:spacing w:line="256"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582"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58"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120" w:type="dxa"/>
            <w:tcBorders>
              <w:top w:val="nil"/>
              <w:left w:val="nil"/>
              <w:bottom w:val="single" w:color="auto" w:sz="4" w:space="0"/>
              <w:right w:val="single" w:color="auto" w:sz="4" w:space="0"/>
            </w:tcBorders>
            <w:noWrap w:val="0"/>
            <w:vAlign w:val="center"/>
          </w:tcPr>
          <w:p>
            <w:pPr>
              <w:spacing w:line="26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noWrap w:val="0"/>
            <w:vAlign w:val="center"/>
          </w:tcPr>
          <w:p>
            <w:pPr>
              <w:spacing w:line="26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重点支出</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215" w:type="dxa"/>
            <w:tcBorders>
              <w:top w:val="nil"/>
              <w:left w:val="nil"/>
              <w:bottom w:val="single" w:color="auto" w:sz="4" w:space="0"/>
              <w:right w:val="single" w:color="auto" w:sz="4" w:space="0"/>
            </w:tcBorders>
            <w:noWrap w:val="0"/>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582"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58"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120" w:type="dxa"/>
            <w:tcBorders>
              <w:top w:val="nil"/>
              <w:left w:val="nil"/>
              <w:bottom w:val="single" w:color="auto" w:sz="4" w:space="0"/>
              <w:right w:val="single" w:color="auto" w:sz="4" w:space="0"/>
            </w:tcBorders>
            <w:noWrap w:val="0"/>
            <w:vAlign w:val="center"/>
          </w:tcPr>
          <w:p>
            <w:pPr>
              <w:spacing w:line="26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过  程</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预算执行</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45"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215" w:type="dxa"/>
            <w:tcBorders>
              <w:top w:val="nil"/>
              <w:left w:val="nil"/>
              <w:bottom w:val="single" w:color="auto" w:sz="4" w:space="0"/>
              <w:right w:val="single" w:color="auto" w:sz="4" w:space="0"/>
            </w:tcBorders>
            <w:noWrap w:val="0"/>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582"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120"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215" w:type="dxa"/>
            <w:tcBorders>
              <w:top w:val="nil"/>
              <w:left w:val="nil"/>
              <w:bottom w:val="single" w:color="auto" w:sz="4" w:space="0"/>
              <w:right w:val="single" w:color="auto" w:sz="4" w:space="0"/>
            </w:tcBorders>
            <w:noWrap w:val="0"/>
            <w:vAlign w:val="center"/>
          </w:tcPr>
          <w:p>
            <w:pPr>
              <w:spacing w:line="256"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春节前下达全部专项资金的50%；6月底前所有专项资金指标全部下达完。</w:t>
            </w:r>
          </w:p>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582"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120"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38"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215" w:type="dxa"/>
            <w:tcBorders>
              <w:top w:val="nil"/>
              <w:left w:val="nil"/>
              <w:bottom w:val="single" w:color="auto" w:sz="4" w:space="0"/>
              <w:right w:val="single" w:color="auto" w:sz="4" w:space="0"/>
            </w:tcBorders>
            <w:noWrap w:val="0"/>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582"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120"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5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noWrap w:val="0"/>
            <w:vAlign w:val="center"/>
          </w:tcPr>
          <w:p>
            <w:pPr>
              <w:spacing w:line="26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215" w:type="dxa"/>
            <w:tcBorders>
              <w:top w:val="nil"/>
              <w:left w:val="nil"/>
              <w:bottom w:val="single" w:color="auto" w:sz="4" w:space="0"/>
              <w:right w:val="single" w:color="auto" w:sz="4" w:space="0"/>
            </w:tcBorders>
            <w:noWrap w:val="0"/>
            <w:vAlign w:val="center"/>
          </w:tcPr>
          <w:p>
            <w:pPr>
              <w:spacing w:line="256"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582"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658"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6</w:t>
            </w:r>
          </w:p>
        </w:tc>
        <w:tc>
          <w:tcPr>
            <w:tcW w:w="1120"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2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预算管理</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45" w:type="dxa"/>
            <w:tcBorders>
              <w:top w:val="nil"/>
              <w:left w:val="nil"/>
              <w:bottom w:val="single" w:color="auto" w:sz="4" w:space="0"/>
              <w:right w:val="single" w:color="auto" w:sz="4" w:space="0"/>
            </w:tcBorders>
            <w:noWrap w:val="0"/>
            <w:vAlign w:val="center"/>
          </w:tcPr>
          <w:p>
            <w:pPr>
              <w:spacing w:line="26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215" w:type="dxa"/>
            <w:tcBorders>
              <w:top w:val="nil"/>
              <w:left w:val="nil"/>
              <w:bottom w:val="single" w:color="auto" w:sz="4" w:space="0"/>
              <w:right w:val="single" w:color="auto" w:sz="4" w:space="0"/>
            </w:tcBorders>
            <w:noWrap w:val="0"/>
            <w:vAlign w:val="center"/>
          </w:tcPr>
          <w:p>
            <w:pPr>
              <w:spacing w:line="256"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①已制定或具有预算资金管理办法，内部财务管理制度、会计核算制度等管理制度，1分；</w:t>
            </w:r>
          </w:p>
          <w:p>
            <w:pPr>
              <w:spacing w:line="256"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②相关管理制度合法、合规、完整，1分；</w:t>
            </w:r>
          </w:p>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582"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120"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38"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noWrap w:val="0"/>
            <w:vAlign w:val="center"/>
          </w:tcPr>
          <w:p>
            <w:pPr>
              <w:spacing w:line="26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资金使用</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215" w:type="dxa"/>
            <w:tcBorders>
              <w:top w:val="nil"/>
              <w:left w:val="nil"/>
              <w:bottom w:val="single" w:color="auto" w:sz="4" w:space="0"/>
              <w:right w:val="single" w:color="auto" w:sz="4" w:space="0"/>
            </w:tcBorders>
            <w:noWrap w:val="0"/>
            <w:vAlign w:val="center"/>
          </w:tcPr>
          <w:p>
            <w:pPr>
              <w:spacing w:line="256"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①支出符合国家财经法规和财务管理制度规定以及有关专项资金管理办法的规定；</w:t>
            </w:r>
          </w:p>
          <w:p>
            <w:pPr>
              <w:spacing w:line="256"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②资金拨付有完整的审批程序和手续；</w:t>
            </w:r>
          </w:p>
          <w:p>
            <w:pPr>
              <w:spacing w:line="256"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③项目支出按规定经过评估论证；</w:t>
            </w:r>
          </w:p>
          <w:p>
            <w:pPr>
              <w:spacing w:line="256"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④支出符合部门预算批复的用途；</w:t>
            </w:r>
          </w:p>
          <w:p>
            <w:pPr>
              <w:spacing w:line="256"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⑤资金使用无截留、挤占、挪用、虚列支出等情况。</w:t>
            </w:r>
          </w:p>
          <w:p>
            <w:pPr>
              <w:spacing w:line="256" w:lineRule="exact"/>
              <w:rPr>
                <w:rFonts w:ascii="仿宋_GB2312" w:hAnsi="宋体" w:eastAsia="仿宋_GB2312" w:cs="宋体"/>
                <w:kern w:val="0"/>
                <w:sz w:val="18"/>
                <w:szCs w:val="18"/>
              </w:rPr>
            </w:pPr>
            <w:r>
              <w:rPr>
                <w:rFonts w:hint="eastAsia" w:ascii="仿宋_GB2312" w:hAnsi="宋体" w:eastAsia="仿宋_GB2312" w:cs="宋体"/>
                <w:spacing w:val="-4"/>
                <w:kern w:val="0"/>
                <w:sz w:val="18"/>
                <w:szCs w:val="18"/>
              </w:rPr>
              <w:t>以上情况每出现一例不符合要求的扣1分，扣完为止。</w:t>
            </w:r>
          </w:p>
        </w:tc>
        <w:tc>
          <w:tcPr>
            <w:tcW w:w="582"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120"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251"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215" w:type="dxa"/>
            <w:tcBorders>
              <w:top w:val="nil"/>
              <w:left w:val="nil"/>
              <w:bottom w:val="single" w:color="auto" w:sz="4" w:space="0"/>
              <w:right w:val="single" w:color="auto" w:sz="4" w:space="0"/>
            </w:tcBorders>
            <w:shd w:val="clear" w:color="auto" w:fill="auto"/>
            <w:noWrap w:val="0"/>
            <w:vAlign w:val="center"/>
          </w:tcPr>
          <w:p>
            <w:pPr>
              <w:spacing w:line="256"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①按规定内容公开预决算信息，1分；</w:t>
            </w:r>
          </w:p>
          <w:p>
            <w:pPr>
              <w:spacing w:line="256"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②按规定时限公开预决算信息，0.5分；</w:t>
            </w:r>
          </w:p>
          <w:p>
            <w:pPr>
              <w:spacing w:line="256"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③基础数据信息和会计信息资料真实，0.5分；</w:t>
            </w:r>
          </w:p>
          <w:p>
            <w:pPr>
              <w:spacing w:line="256"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④基础数据信息和会计信息资料完整，0.5分；</w:t>
            </w:r>
          </w:p>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582"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120"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2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45"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215" w:type="dxa"/>
            <w:tcBorders>
              <w:top w:val="nil"/>
              <w:left w:val="nil"/>
              <w:bottom w:val="single" w:color="auto" w:sz="4" w:space="0"/>
              <w:right w:val="single" w:color="auto" w:sz="4" w:space="0"/>
            </w:tcBorders>
            <w:shd w:val="clear" w:color="auto" w:fill="auto"/>
            <w:noWrap w:val="0"/>
            <w:vAlign w:val="center"/>
          </w:tcPr>
          <w:p>
            <w:pPr>
              <w:spacing w:line="256"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政府采购执行率等于100%的，得3分；</w:t>
            </w:r>
          </w:p>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582"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120"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38"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215" w:type="dxa"/>
            <w:tcBorders>
              <w:top w:val="nil"/>
              <w:left w:val="nil"/>
              <w:bottom w:val="single" w:color="auto" w:sz="4" w:space="0"/>
              <w:right w:val="single" w:color="auto" w:sz="4" w:space="0"/>
            </w:tcBorders>
            <w:shd w:val="clear" w:color="auto" w:fill="auto"/>
            <w:noWrap w:val="0"/>
            <w:vAlign w:val="center"/>
          </w:tcPr>
          <w:p>
            <w:pPr>
              <w:spacing w:line="256"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公务卡刷卡率达50％以上的，得3分。</w:t>
            </w:r>
          </w:p>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每减少一个百分点，扣0.2分，扣完为止。                                            </w:t>
            </w:r>
          </w:p>
        </w:tc>
        <w:tc>
          <w:tcPr>
            <w:tcW w:w="582"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120"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89"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45"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215" w:type="dxa"/>
            <w:tcBorders>
              <w:top w:val="nil"/>
              <w:left w:val="nil"/>
              <w:bottom w:val="single" w:color="auto" w:sz="4" w:space="0"/>
              <w:right w:val="single" w:color="auto" w:sz="4" w:space="0"/>
            </w:tcBorders>
            <w:shd w:val="clear" w:color="auto" w:fill="auto"/>
            <w:noWrap w:val="0"/>
            <w:vAlign w:val="center"/>
          </w:tcPr>
          <w:p>
            <w:pPr>
              <w:spacing w:line="256"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①已制定或具有资产管理制度，且相关资产管理制度合法、合规、完整，2分；</w:t>
            </w:r>
          </w:p>
          <w:p>
            <w:pPr>
              <w:spacing w:line="256"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582"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120"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bl>
    <w:p>
      <w:pPr>
        <w:spacing w:line="14" w:lineRule="exact"/>
      </w:pPr>
    </w:p>
    <w:tbl>
      <w:tblPr>
        <w:tblStyle w:val="3"/>
        <w:tblW w:w="9894" w:type="dxa"/>
        <w:jc w:val="center"/>
        <w:tblLayout w:type="fixed"/>
        <w:tblCellMar>
          <w:top w:w="0" w:type="dxa"/>
          <w:left w:w="108" w:type="dxa"/>
          <w:bottom w:w="0" w:type="dxa"/>
          <w:right w:w="108" w:type="dxa"/>
        </w:tblCellMar>
      </w:tblPr>
      <w:tblGrid>
        <w:gridCol w:w="976"/>
        <w:gridCol w:w="939"/>
        <w:gridCol w:w="1341"/>
        <w:gridCol w:w="4219"/>
        <w:gridCol w:w="619"/>
        <w:gridCol w:w="635"/>
        <w:gridCol w:w="1165"/>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二级指标</w:t>
            </w:r>
          </w:p>
        </w:tc>
        <w:tc>
          <w:tcPr>
            <w:tcW w:w="1341" w:type="dxa"/>
            <w:tcBorders>
              <w:top w:val="single" w:color="auto" w:sz="4" w:space="0"/>
              <w:left w:val="nil"/>
              <w:bottom w:val="single" w:color="auto" w:sz="4" w:space="0"/>
              <w:right w:val="single" w:color="auto" w:sz="4" w:space="0"/>
            </w:tcBorders>
            <w:shd w:val="clear" w:color="auto" w:fill="auto"/>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三级指标</w:t>
            </w:r>
          </w:p>
        </w:tc>
        <w:tc>
          <w:tcPr>
            <w:tcW w:w="4219" w:type="dxa"/>
            <w:tcBorders>
              <w:top w:val="single" w:color="auto" w:sz="4" w:space="0"/>
              <w:left w:val="nil"/>
              <w:bottom w:val="single" w:color="auto" w:sz="4" w:space="0"/>
              <w:right w:val="single" w:color="auto" w:sz="4" w:space="0"/>
            </w:tcBorders>
            <w:shd w:val="clear" w:color="auto" w:fill="auto"/>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分值</w:t>
            </w:r>
          </w:p>
        </w:tc>
        <w:tc>
          <w:tcPr>
            <w:tcW w:w="635" w:type="dxa"/>
            <w:tcBorders>
              <w:top w:val="single" w:color="auto" w:sz="4" w:space="0"/>
              <w:left w:val="nil"/>
              <w:bottom w:val="single" w:color="auto" w:sz="4" w:space="0"/>
              <w:right w:val="single" w:color="auto" w:sz="4" w:space="0"/>
            </w:tcBorders>
            <w:shd w:val="clear" w:color="auto" w:fill="FFFFFF"/>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自评得分</w:t>
            </w:r>
          </w:p>
        </w:tc>
        <w:tc>
          <w:tcPr>
            <w:tcW w:w="1165" w:type="dxa"/>
            <w:tcBorders>
              <w:top w:val="single" w:color="auto" w:sz="4" w:space="0"/>
              <w:left w:val="nil"/>
              <w:bottom w:val="single" w:color="auto" w:sz="4" w:space="0"/>
              <w:right w:val="single" w:color="auto" w:sz="4" w:space="0"/>
            </w:tcBorders>
            <w:shd w:val="clear" w:color="auto" w:fill="FFFFFF"/>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扣分原因和其他说明</w:t>
            </w:r>
          </w:p>
        </w:tc>
      </w:tr>
      <w:tr>
        <w:tblPrEx>
          <w:tblCellMar>
            <w:top w:w="0" w:type="dxa"/>
            <w:left w:w="108" w:type="dxa"/>
            <w:bottom w:w="0" w:type="dxa"/>
            <w:right w:w="108" w:type="dxa"/>
          </w:tblCellMar>
        </w:tblPrEx>
        <w:trPr>
          <w:trHeight w:val="1890"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41" w:type="dxa"/>
            <w:tcBorders>
              <w:top w:val="single" w:color="auto" w:sz="4" w:space="0"/>
              <w:left w:val="nil"/>
              <w:bottom w:val="single" w:color="auto" w:sz="4" w:space="0"/>
              <w:right w:val="single" w:color="auto" w:sz="4" w:space="0"/>
            </w:tcBorders>
            <w:shd w:val="clear" w:color="auto" w:fill="auto"/>
            <w:noWrap w:val="0"/>
            <w:vAlign w:val="center"/>
          </w:tcPr>
          <w:p>
            <w:pPr>
              <w:spacing w:line="26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219" w:type="dxa"/>
            <w:tcBorders>
              <w:top w:val="single" w:color="auto" w:sz="4" w:space="0"/>
              <w:left w:val="nil"/>
              <w:bottom w:val="single" w:color="auto" w:sz="4" w:space="0"/>
              <w:right w:val="single" w:color="auto" w:sz="4" w:space="0"/>
            </w:tcBorders>
            <w:shd w:val="clear" w:color="auto" w:fill="auto"/>
            <w:noWrap w:val="0"/>
            <w:vAlign w:val="center"/>
          </w:tcPr>
          <w:p>
            <w:pPr>
              <w:spacing w:line="26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①资产保存完整；</w:t>
            </w:r>
          </w:p>
          <w:p>
            <w:pPr>
              <w:spacing w:line="26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②资产配置合理；</w:t>
            </w:r>
          </w:p>
          <w:p>
            <w:pPr>
              <w:spacing w:line="26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 xml:space="preserve">③资产处置规范； </w:t>
            </w:r>
          </w:p>
          <w:p>
            <w:pPr>
              <w:spacing w:line="26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④资产账务管理合规，帐实相符；</w:t>
            </w:r>
          </w:p>
          <w:p>
            <w:pPr>
              <w:spacing w:line="26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⑤资产有偿使用及处置收入及时足额上缴；</w:t>
            </w:r>
          </w:p>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635" w:type="dxa"/>
            <w:tcBorders>
              <w:top w:val="single" w:color="auto" w:sz="4" w:space="0"/>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4</w:t>
            </w:r>
          </w:p>
        </w:tc>
        <w:tc>
          <w:tcPr>
            <w:tcW w:w="1165" w:type="dxa"/>
            <w:tcBorders>
              <w:top w:val="single" w:color="auto" w:sz="4" w:space="0"/>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52"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固定资产</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219" w:type="dxa"/>
            <w:tcBorders>
              <w:top w:val="nil"/>
              <w:left w:val="nil"/>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3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16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职责履行</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（25分）</w:t>
            </w:r>
          </w:p>
        </w:tc>
        <w:tc>
          <w:tcPr>
            <w:tcW w:w="1341"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219"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此项指标根据《中共岳阳市云溪区委 岳阳市云溪区人民政府 关于做好岳阳市云溪区2021年度综合绩效考核工作的通知》）考核内容设置。</w:t>
            </w:r>
          </w:p>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3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16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21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63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7</w:t>
            </w:r>
          </w:p>
        </w:tc>
        <w:tc>
          <w:tcPr>
            <w:tcW w:w="116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21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3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16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21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3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2</w:t>
            </w:r>
          </w:p>
        </w:tc>
        <w:tc>
          <w:tcPr>
            <w:tcW w:w="116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87"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21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3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2</w:t>
            </w:r>
          </w:p>
        </w:tc>
        <w:tc>
          <w:tcPr>
            <w:tcW w:w="116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19"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21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63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4</w:t>
            </w:r>
          </w:p>
        </w:tc>
        <w:tc>
          <w:tcPr>
            <w:tcW w:w="116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效  果</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履职效益</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41"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219"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63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15</w:t>
            </w:r>
          </w:p>
        </w:tc>
        <w:tc>
          <w:tcPr>
            <w:tcW w:w="116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21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63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c>
          <w:tcPr>
            <w:tcW w:w="116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21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63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c>
          <w:tcPr>
            <w:tcW w:w="116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219"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spacing w:line="26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spacing w:line="26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35"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165"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noWrap w:val="0"/>
            <w:vAlign w:val="center"/>
          </w:tcPr>
          <w:p>
            <w:pPr>
              <w:spacing w:line="26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b/>
                <w:bCs/>
                <w:kern w:val="0"/>
                <w:sz w:val="18"/>
                <w:szCs w:val="18"/>
              </w:rPr>
            </w:pPr>
          </w:p>
        </w:tc>
        <w:tc>
          <w:tcPr>
            <w:tcW w:w="1341"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b/>
                <w:bCs/>
                <w:kern w:val="0"/>
                <w:sz w:val="18"/>
                <w:szCs w:val="18"/>
              </w:rPr>
            </w:pPr>
          </w:p>
        </w:tc>
        <w:tc>
          <w:tcPr>
            <w:tcW w:w="4219"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635" w:type="dxa"/>
            <w:tcBorders>
              <w:top w:val="nil"/>
              <w:left w:val="nil"/>
              <w:bottom w:val="single" w:color="auto" w:sz="4" w:space="0"/>
              <w:right w:val="single" w:color="auto" w:sz="4" w:space="0"/>
            </w:tcBorders>
            <w:noWrap w:val="0"/>
            <w:vAlign w:val="center"/>
          </w:tcPr>
          <w:p>
            <w:pPr>
              <w:spacing w:line="26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95</w:t>
            </w:r>
          </w:p>
        </w:tc>
        <w:tc>
          <w:tcPr>
            <w:tcW w:w="1165"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b/>
                <w:bCs/>
                <w:kern w:val="0"/>
                <w:sz w:val="18"/>
                <w:szCs w:val="18"/>
              </w:rPr>
            </w:pPr>
          </w:p>
        </w:tc>
      </w:tr>
    </w:tbl>
    <w:p>
      <w:pPr>
        <w:spacing w:line="38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Arial Unicode MS"/>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altName w:val="Arial Unicode MS"/>
    <w:panose1 w:val="02010609060101010101"/>
    <w:charset w:val="86"/>
    <w:family w:val="auto"/>
    <w:pitch w:val="default"/>
    <w:sig w:usb0="00000000" w:usb1="00000000" w:usb2="00000016" w:usb3="00000000" w:csb0="00040001" w:csb1="00000000"/>
  </w:font>
  <w:font w:name="楷体_GB2312">
    <w:altName w:val="Arial Unicode MS"/>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sz w:val="24"/>
        <w:szCs w:val="24"/>
      </w:rPr>
    </w:pPr>
    <w:r>
      <w:rPr>
        <w:rStyle w:val="5"/>
        <w:rFonts w:hint="eastAsia"/>
        <w:sz w:val="24"/>
        <w:szCs w:val="24"/>
      </w:rPr>
      <w:t xml:space="preserve">— </w:t>
    </w:r>
    <w:r>
      <w:rPr>
        <w:rFonts w:hint="eastAsia" w:ascii="仿宋_GB2312" w:eastAsia="仿宋_GB2312"/>
        <w:sz w:val="28"/>
        <w:szCs w:val="28"/>
      </w:rPr>
      <w:fldChar w:fldCharType="begin"/>
    </w:r>
    <w:r>
      <w:rPr>
        <w:rStyle w:val="5"/>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5"/>
        <w:rFonts w:ascii="仿宋_GB2312" w:eastAsia="仿宋_GB2312"/>
        <w:sz w:val="28"/>
        <w:szCs w:val="28"/>
      </w:rPr>
      <w:t>2</w:t>
    </w:r>
    <w:r>
      <w:rPr>
        <w:rFonts w:hint="eastAsia" w:ascii="仿宋_GB2312" w:eastAsia="仿宋_GB2312"/>
        <w:sz w:val="28"/>
        <w:szCs w:val="28"/>
      </w:rPr>
      <w:fldChar w:fldCharType="end"/>
    </w:r>
    <w:r>
      <w:rPr>
        <w:rStyle w:val="5"/>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NjExM2Q3MGI4ODBkYTk3N2IxNTFhNmM0MTIxOTgifQ=="/>
  </w:docVars>
  <w:rsids>
    <w:rsidRoot w:val="383F7F55"/>
    <w:rsid w:val="383F7F55"/>
    <w:rsid w:val="57A81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3721</Words>
  <Characters>4039</Characters>
  <Lines>0</Lines>
  <Paragraphs>0</Paragraphs>
  <TotalTime>11</TotalTime>
  <ScaleCrop>false</ScaleCrop>
  <LinksUpToDate>false</LinksUpToDate>
  <CharactersWithSpaces>4589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2022-07-14T08:24:00Z</dcterms:created>
  <dc:creator>哇</dc:creator>
  <cp:lastModifiedBy>哇</cp:lastModifiedBy>
  <dcterms:modified xsi:type="dcterms:W3CDTF">2022-07-14T08:36:15Z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4F86300C0FC54F62814039CFDA255458</vt:lpwstr>
  </property>
</Properties>
</file>