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p>
    <w:p>
      <w:pPr>
        <w:pStyle w:val="2"/>
        <w:ind w:left="0" w:leftChars="0" w:firstLine="0" w:firstLineChars="0"/>
        <w:rPr>
          <w:rFonts w:hint="eastAsia" w:ascii="黑体" w:hAnsi="黑体" w:eastAsia="黑体" w:cs="黑体"/>
          <w:bCs/>
          <w:sz w:val="32"/>
          <w:szCs w:val="32"/>
        </w:rPr>
      </w:pPr>
    </w:p>
    <w:p>
      <w:pPr>
        <w:spacing w:line="800" w:lineRule="exact"/>
        <w:jc w:val="center"/>
        <w:rPr>
          <w:rFonts w:hint="eastAsia" w:eastAsia="方正小标宋简体"/>
          <w:bCs/>
          <w:sz w:val="46"/>
          <w:szCs w:val="46"/>
        </w:rPr>
      </w:pPr>
      <w:r>
        <w:rPr>
          <w:rFonts w:hint="eastAsia" w:eastAsia="方正小标宋简体"/>
          <w:bCs/>
          <w:sz w:val="46"/>
          <w:szCs w:val="46"/>
        </w:rPr>
        <w:t>岳阳市云溪区</w:t>
      </w:r>
      <w:r>
        <w:rPr>
          <w:rFonts w:hint="eastAsia" w:eastAsia="方正小标宋简体"/>
          <w:bCs/>
          <w:sz w:val="46"/>
          <w:szCs w:val="46"/>
          <w:u w:val="single"/>
        </w:rPr>
        <w:t>20</w:t>
      </w:r>
      <w:r>
        <w:rPr>
          <w:rFonts w:hint="eastAsia" w:eastAsia="方正小标宋简体"/>
          <w:bCs/>
          <w:sz w:val="46"/>
          <w:szCs w:val="46"/>
          <w:u w:val="single"/>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lang w:val="en-US" w:eastAsia="zh-CN"/>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岳阳市云溪区城市建设投资服务中心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146001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rPr>
          <w:rFonts w:hint="eastAsia" w:eastAsia="仿宋_GB2312"/>
          <w:sz w:val="32"/>
        </w:rPr>
      </w:pPr>
    </w:p>
    <w:p>
      <w:pPr>
        <w:pStyle w:val="2"/>
        <w:rPr>
          <w:rFonts w:hint="eastAsia"/>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12</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138"/>
        <w:gridCol w:w="33"/>
        <w:gridCol w:w="25"/>
        <w:gridCol w:w="1125"/>
        <w:gridCol w:w="479"/>
        <w:gridCol w:w="139"/>
        <w:gridCol w:w="116"/>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谢芳</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742" w:type="dxa"/>
            <w:gridSpan w:val="7"/>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0730-8466601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0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rPr>
              <w:t>代云溪区政府行使筹措管理城建资金。负责对国有资产投资项目和城市建设投资项目资金的监督管理。</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68" w:hRule="exac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rPr>
              <w:t>任务1：1.规范融资举债，确保隐性债务不增加，根据资金缺口和使用情况，全年融资到位6个亿</w:t>
            </w:r>
            <w:r>
              <w:rPr>
                <w:rFonts w:hint="eastAsia" w:ascii="仿宋" w:hAnsi="仿宋" w:eastAsia="仿宋" w:cs="仿宋"/>
                <w:sz w:val="24"/>
                <w:szCs w:val="24"/>
                <w:lang w:eastAsia="zh-CN"/>
              </w:rPr>
              <w:t>；</w:t>
            </w:r>
            <w:r>
              <w:rPr>
                <w:rFonts w:hint="eastAsia" w:ascii="仿宋" w:hAnsi="仿宋" w:eastAsia="仿宋" w:cs="仿宋"/>
                <w:sz w:val="24"/>
                <w:szCs w:val="24"/>
              </w:rPr>
              <w:t>2.保障已开工项目资金拨付到位</w:t>
            </w:r>
            <w:r>
              <w:rPr>
                <w:rFonts w:hint="eastAsia" w:ascii="仿宋" w:hAnsi="仿宋" w:eastAsia="仿宋" w:cs="仿宋"/>
                <w:sz w:val="24"/>
                <w:szCs w:val="24"/>
                <w:lang w:eastAsia="zh-CN"/>
              </w:rPr>
              <w:t>。</w:t>
            </w:r>
          </w:p>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rPr>
              <w:t>任务2：1.严格落实政府隐性债务风险化解方案，采取年度财政预算安排一批、协商金融机构缓解一批、盘活资金资产回笼一批等措施，实现债务总量、综合债务率和预警等级稳步下降，确保资金不断链、债务不违约；2.确保资金付本还息；3.积极争取政府债券发行</w:t>
            </w:r>
            <w:r>
              <w:rPr>
                <w:rFonts w:hint="eastAsia" w:ascii="仿宋" w:hAnsi="仿宋" w:eastAsia="仿宋" w:cs="仿宋"/>
                <w:sz w:val="24"/>
                <w:szCs w:val="24"/>
                <w:lang w:eastAsia="zh-CN"/>
              </w:rPr>
              <w:t>。</w:t>
            </w:r>
          </w:p>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rPr>
              <w:t>任务3：1.加快推进生猪定点屠宰场项目建设；2.9月份三角坪化工污染场地修复项目开工；3.完成文苑农贸市场及公租房项目建设；4.启动团湖水环境、侯家港治理项目</w:t>
            </w:r>
            <w:r>
              <w:rPr>
                <w:rFonts w:hint="eastAsia" w:ascii="仿宋" w:hAnsi="仿宋" w:eastAsia="仿宋" w:cs="仿宋"/>
                <w:sz w:val="24"/>
                <w:szCs w:val="24"/>
                <w:lang w:eastAsia="zh-CN"/>
              </w:rPr>
              <w:t>。</w:t>
            </w:r>
          </w:p>
          <w:p>
            <w:pPr>
              <w:spacing w:line="320" w:lineRule="exact"/>
              <w:jc w:val="left"/>
              <w:rPr>
                <w:rFonts w:hint="eastAsia" w:eastAsia="仿宋_GB2312"/>
                <w:lang w:val="en-US" w:eastAsia="zh-CN"/>
              </w:rPr>
            </w:pPr>
            <w:r>
              <w:rPr>
                <w:rFonts w:hint="eastAsia" w:ascii="仿宋" w:hAnsi="仿宋" w:eastAsia="仿宋" w:cs="仿宋"/>
                <w:sz w:val="24"/>
                <w:szCs w:val="24"/>
                <w:lang w:eastAsia="zh-CN"/>
              </w:rPr>
              <w:t>任务</w:t>
            </w:r>
            <w:r>
              <w:rPr>
                <w:rFonts w:hint="eastAsia" w:ascii="仿宋" w:hAnsi="仿宋" w:eastAsia="仿宋" w:cs="仿宋"/>
                <w:sz w:val="24"/>
                <w:szCs w:val="24"/>
                <w:lang w:val="en-US" w:eastAsia="zh-CN"/>
              </w:rPr>
              <w:t>4：</w:t>
            </w:r>
            <w:r>
              <w:rPr>
                <w:rFonts w:hint="eastAsia" w:ascii="仿宋" w:hAnsi="仿宋" w:eastAsia="仿宋" w:cs="仿宋"/>
                <w:bCs/>
                <w:sz w:val="24"/>
                <w:szCs w:val="24"/>
              </w:rPr>
              <w:t>1.进一步完善平台公司转型方案，加快转型、土地出让和资金回笼进度；</w:t>
            </w:r>
            <w:r>
              <w:rPr>
                <w:rFonts w:hint="eastAsia" w:ascii="仿宋" w:hAnsi="仿宋" w:eastAsia="仿宋" w:cs="仿宋"/>
                <w:sz w:val="24"/>
                <w:szCs w:val="24"/>
              </w:rPr>
              <w:t>2.</w:t>
            </w:r>
            <w:r>
              <w:rPr>
                <w:rFonts w:hint="eastAsia" w:ascii="仿宋" w:hAnsi="仿宋" w:eastAsia="仿宋" w:cs="仿宋"/>
                <w:bCs/>
                <w:sz w:val="24"/>
                <w:szCs w:val="24"/>
              </w:rPr>
              <w:t>9月底前完成工业固体废弃物处置项目建设</w:t>
            </w:r>
            <w:r>
              <w:rPr>
                <w:rFonts w:hint="eastAsia" w:ascii="仿宋" w:hAnsi="仿宋" w:eastAsia="仿宋" w:cs="仿宋"/>
                <w:sz w:val="24"/>
                <w:szCs w:val="24"/>
              </w:rPr>
              <w:t>并投入运营</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sz w:val="24"/>
                <w:szCs w:val="24"/>
              </w:rPr>
              <w:t>完成道仁矶加油站项目建设；</w:t>
            </w:r>
            <w:r>
              <w:rPr>
                <w:rFonts w:hint="eastAsia" w:ascii="仿宋" w:hAnsi="仿宋" w:eastAsia="仿宋" w:cs="仿宋"/>
                <w:sz w:val="24"/>
                <w:szCs w:val="24"/>
                <w:lang w:val="en-US" w:eastAsia="zh-CN"/>
              </w:rPr>
              <w:t>4</w:t>
            </w:r>
            <w:r>
              <w:rPr>
                <w:rFonts w:hint="eastAsia" w:ascii="仿宋" w:hAnsi="仿宋" w:eastAsia="仿宋" w:cs="仿宋"/>
                <w:sz w:val="24"/>
                <w:szCs w:val="24"/>
              </w:rPr>
              <w:t>.完成“十三五”采砂规划任务，跟踪“十四五”采砂规划申报；</w:t>
            </w:r>
            <w:r>
              <w:rPr>
                <w:rFonts w:hint="eastAsia" w:ascii="仿宋" w:hAnsi="仿宋" w:eastAsia="仿宋" w:cs="仿宋"/>
                <w:sz w:val="24"/>
                <w:szCs w:val="24"/>
                <w:lang w:val="en-US" w:eastAsia="zh-CN"/>
              </w:rPr>
              <w:t>5</w:t>
            </w:r>
            <w:r>
              <w:rPr>
                <w:rFonts w:hint="eastAsia" w:ascii="仿宋" w:hAnsi="仿宋" w:eastAsia="仿宋" w:cs="仿宋"/>
                <w:sz w:val="24"/>
                <w:szCs w:val="24"/>
              </w:rPr>
              <w:t>.竞拍取得城区广告经营权并试运营；</w:t>
            </w:r>
            <w:r>
              <w:rPr>
                <w:rFonts w:hint="eastAsia" w:ascii="仿宋" w:hAnsi="仿宋" w:eastAsia="仿宋" w:cs="仿宋"/>
                <w:sz w:val="24"/>
                <w:szCs w:val="24"/>
                <w:lang w:val="en-US" w:eastAsia="zh-CN"/>
              </w:rPr>
              <w:t>6</w:t>
            </w:r>
            <w:r>
              <w:rPr>
                <w:rFonts w:hint="eastAsia" w:ascii="仿宋" w:hAnsi="仿宋" w:eastAsia="仿宋" w:cs="仿宋"/>
                <w:sz w:val="24"/>
                <w:szCs w:val="24"/>
              </w:rPr>
              <w:t>.完成枫桥湖花园商业配套工程项目建设；</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bCs/>
                <w:sz w:val="24"/>
                <w:szCs w:val="24"/>
              </w:rPr>
              <w:t>做好全区新能源汽车推广及配套充电桩规划工作，适时开展建设并投入运营；</w:t>
            </w:r>
            <w:r>
              <w:rPr>
                <w:rFonts w:hint="eastAsia" w:ascii="仿宋" w:hAnsi="仿宋" w:eastAsia="仿宋" w:cs="仿宋"/>
                <w:bCs/>
                <w:sz w:val="24"/>
                <w:szCs w:val="24"/>
                <w:lang w:val="en-US" w:eastAsia="zh-CN"/>
              </w:rPr>
              <w:t>8</w:t>
            </w:r>
            <w:r>
              <w:rPr>
                <w:rFonts w:hint="eastAsia" w:ascii="仿宋" w:hAnsi="仿宋" w:eastAsia="仿宋" w:cs="仿宋"/>
                <w:bCs/>
                <w:sz w:val="24"/>
                <w:szCs w:val="24"/>
              </w:rPr>
              <w:t>.</w:t>
            </w:r>
            <w:r>
              <w:rPr>
                <w:rFonts w:hint="eastAsia" w:ascii="仿宋" w:hAnsi="仿宋" w:eastAsia="仿宋" w:cs="仿宋"/>
                <w:sz w:val="24"/>
                <w:szCs w:val="24"/>
              </w:rPr>
              <w:t>完成商品混凝土项目建设</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49"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一年来，在区委、区政府的领导下，坚决打赢三大攻坚战，立足区内大局，按照债务化解方案推动工作</w:t>
            </w:r>
            <w:r>
              <w:rPr>
                <w:rFonts w:hint="eastAsia" w:ascii="仿宋" w:hAnsi="仿宋" w:eastAsia="仿宋" w:cs="仿宋"/>
                <w:sz w:val="24"/>
                <w:szCs w:val="24"/>
                <w:lang w:eastAsia="zh-CN"/>
              </w:rPr>
              <w:t>。</w:t>
            </w:r>
            <w:r>
              <w:rPr>
                <w:rFonts w:hint="eastAsia" w:ascii="仿宋" w:hAnsi="仿宋" w:eastAsia="仿宋" w:cs="仿宋"/>
                <w:sz w:val="24"/>
                <w:szCs w:val="24"/>
              </w:rPr>
              <w:t>全年</w:t>
            </w:r>
            <w:r>
              <w:rPr>
                <w:rFonts w:hint="eastAsia" w:ascii="仿宋" w:hAnsi="仿宋" w:eastAsia="仿宋" w:cs="仿宋"/>
                <w:color w:val="000000"/>
                <w:sz w:val="24"/>
                <w:szCs w:val="24"/>
                <w:lang w:val="en-US" w:eastAsia="zh-CN"/>
              </w:rPr>
              <w:t>累计融资到位6.43亿元，</w:t>
            </w:r>
            <w:r>
              <w:rPr>
                <w:rFonts w:hint="eastAsia" w:ascii="仿宋" w:hAnsi="仿宋" w:eastAsia="仿宋" w:cs="仿宋"/>
                <w:sz w:val="24"/>
                <w:szCs w:val="24"/>
              </w:rPr>
              <w:t>按期还本付息</w:t>
            </w:r>
            <w:r>
              <w:rPr>
                <w:rFonts w:hint="eastAsia" w:ascii="仿宋" w:hAnsi="仿宋" w:eastAsia="仿宋" w:cs="仿宋"/>
                <w:color w:val="000000"/>
                <w:sz w:val="24"/>
                <w:szCs w:val="24"/>
              </w:rPr>
              <w:t>4.22亿元，投入重点项目1.5亿元</w:t>
            </w:r>
            <w:r>
              <w:rPr>
                <w:rFonts w:hint="eastAsia" w:ascii="仿宋" w:hAnsi="仿宋" w:eastAsia="仿宋" w:cs="仿宋"/>
                <w:sz w:val="24"/>
                <w:szCs w:val="24"/>
              </w:rPr>
              <w:t>，债务无违约情况；</w:t>
            </w:r>
            <w:r>
              <w:rPr>
                <w:rFonts w:hint="eastAsia" w:ascii="仿宋" w:hAnsi="仿宋" w:eastAsia="仿宋" w:cs="仿宋"/>
                <w:sz w:val="24"/>
                <w:szCs w:val="24"/>
                <w:lang w:val="en-US" w:eastAsia="zh-CN"/>
              </w:rPr>
              <w:t>转型工作亮牌破局，和庆源公司发展态势良好，</w:t>
            </w:r>
            <w:r>
              <w:rPr>
                <w:rFonts w:hint="eastAsia" w:ascii="仿宋" w:hAnsi="仿宋" w:eastAsia="仿宋" w:cs="仿宋"/>
                <w:color w:val="000000"/>
                <w:sz w:val="24"/>
                <w:szCs w:val="24"/>
                <w:lang w:val="en-US" w:eastAsia="zh-CN"/>
              </w:rPr>
              <w:t>转型项目稳步推进。</w:t>
            </w:r>
            <w:r>
              <w:rPr>
                <w:rFonts w:hint="eastAsia" w:ascii="仿宋" w:hAnsi="仿宋" w:eastAsia="仿宋" w:cs="仿宋"/>
                <w:color w:val="000000"/>
                <w:sz w:val="24"/>
                <w:szCs w:val="24"/>
              </w:rPr>
              <w:t>长岭污水处理厂已通过验收并投入运营；文苑农贸市场及公租房项目</w:t>
            </w:r>
            <w:r>
              <w:rPr>
                <w:rFonts w:hint="eastAsia" w:ascii="仿宋" w:hAnsi="仿宋" w:eastAsia="仿宋" w:cs="仿宋"/>
                <w:color w:val="000000"/>
                <w:sz w:val="24"/>
                <w:szCs w:val="24"/>
                <w:lang w:val="en-US" w:eastAsia="zh-CN"/>
              </w:rPr>
              <w:t>已完工并交付；</w:t>
            </w:r>
            <w:r>
              <w:rPr>
                <w:rFonts w:hint="eastAsia" w:ascii="仿宋" w:hAnsi="仿宋" w:eastAsia="仿宋" w:cs="仿宋"/>
                <w:color w:val="000000"/>
                <w:sz w:val="24"/>
                <w:szCs w:val="24"/>
              </w:rPr>
              <w:t>固废处置项目克服群众多次阻工、地质岩层复杂等重重困难有序推进，</w:t>
            </w:r>
            <w:r>
              <w:rPr>
                <w:rFonts w:hint="eastAsia" w:ascii="仿宋" w:hAnsi="仿宋" w:eastAsia="仿宋" w:cs="仿宋"/>
                <w:color w:val="000000"/>
                <w:sz w:val="24"/>
                <w:szCs w:val="24"/>
                <w:lang w:val="en-US" w:eastAsia="zh-CN"/>
              </w:rPr>
              <w:t>主体已全部完工</w:t>
            </w:r>
            <w:r>
              <w:rPr>
                <w:rFonts w:hint="eastAsia" w:ascii="仿宋" w:hAnsi="仿宋" w:eastAsia="仿宋" w:cs="仿宋"/>
                <w:color w:val="000000"/>
                <w:sz w:val="24"/>
                <w:szCs w:val="24"/>
              </w:rPr>
              <w:t>；枫桥湖商业配套项目已</w:t>
            </w:r>
            <w:r>
              <w:rPr>
                <w:rFonts w:hint="eastAsia" w:ascii="仿宋" w:hAnsi="仿宋" w:eastAsia="仿宋" w:cs="仿宋"/>
                <w:color w:val="000000"/>
                <w:sz w:val="24"/>
                <w:szCs w:val="24"/>
                <w:lang w:val="en-US" w:eastAsia="zh-CN"/>
              </w:rPr>
              <w:t>进行了招拍出租</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城南公租房门面已全部出租；</w:t>
            </w:r>
            <w:r>
              <w:rPr>
                <w:rFonts w:hint="eastAsia" w:ascii="仿宋" w:hAnsi="仿宋" w:eastAsia="仿宋" w:cs="仿宋"/>
                <w:color w:val="000000"/>
                <w:sz w:val="24"/>
                <w:szCs w:val="24"/>
              </w:rPr>
              <w:t>道仁矶加油站项目已</w:t>
            </w:r>
            <w:r>
              <w:rPr>
                <w:rFonts w:hint="eastAsia" w:ascii="仿宋" w:hAnsi="仿宋" w:eastAsia="仿宋" w:cs="仿宋"/>
                <w:color w:val="000000"/>
                <w:sz w:val="24"/>
                <w:szCs w:val="24"/>
                <w:lang w:val="en-US" w:eastAsia="zh-CN"/>
              </w:rPr>
              <w:t>完成建设</w:t>
            </w:r>
            <w:r>
              <w:rPr>
                <w:rFonts w:hint="eastAsia" w:ascii="仿宋" w:hAnsi="仿宋" w:eastAsia="仿宋" w:cs="仿宋"/>
                <w:color w:val="000000"/>
                <w:sz w:val="24"/>
                <w:szCs w:val="24"/>
              </w:rPr>
              <w:t>投入</w:t>
            </w:r>
            <w:r>
              <w:rPr>
                <w:rFonts w:hint="eastAsia" w:ascii="仿宋" w:hAnsi="仿宋" w:eastAsia="仿宋" w:cs="仿宋"/>
                <w:color w:val="000000"/>
                <w:sz w:val="24"/>
                <w:szCs w:val="24"/>
                <w:lang w:val="en-US" w:eastAsia="zh-CN"/>
              </w:rPr>
              <w:t>运营</w:t>
            </w:r>
            <w:r>
              <w:rPr>
                <w:rFonts w:hint="eastAsia" w:ascii="仿宋" w:hAnsi="仿宋" w:eastAsia="仿宋" w:cs="仿宋"/>
                <w:color w:val="000000"/>
                <w:sz w:val="24"/>
                <w:szCs w:val="24"/>
              </w:rPr>
              <w:t>；商品混凝土项目</w:t>
            </w:r>
            <w:r>
              <w:rPr>
                <w:rFonts w:hint="eastAsia" w:ascii="仿宋" w:hAnsi="仿宋" w:eastAsia="仿宋" w:cs="仿宋"/>
                <w:color w:val="000000"/>
                <w:sz w:val="24"/>
                <w:szCs w:val="24"/>
                <w:lang w:val="en-US" w:eastAsia="zh-CN"/>
              </w:rPr>
              <w:t>已</w:t>
            </w:r>
            <w:r>
              <w:rPr>
                <w:rFonts w:hint="eastAsia" w:ascii="仿宋" w:hAnsi="仿宋" w:eastAsia="仿宋" w:cs="仿宋"/>
                <w:color w:val="000000"/>
                <w:sz w:val="24"/>
                <w:szCs w:val="24"/>
              </w:rPr>
              <w:t>完成</w:t>
            </w:r>
            <w:r>
              <w:rPr>
                <w:rFonts w:hint="eastAsia" w:ascii="仿宋" w:hAnsi="仿宋" w:eastAsia="仿宋" w:cs="仿宋"/>
                <w:color w:val="000000"/>
                <w:sz w:val="24"/>
                <w:szCs w:val="24"/>
                <w:lang w:val="en-US" w:eastAsia="zh-CN"/>
              </w:rPr>
              <w:t>前期工作</w:t>
            </w:r>
            <w:r>
              <w:rPr>
                <w:rFonts w:hint="eastAsia" w:ascii="仿宋" w:hAnsi="仿宋" w:eastAsia="仿宋" w:cs="仿宋"/>
                <w:color w:val="000000"/>
                <w:sz w:val="24"/>
                <w:szCs w:val="24"/>
              </w:rPr>
              <w:t>，力争</w:t>
            </w:r>
            <w:r>
              <w:rPr>
                <w:rFonts w:hint="eastAsia" w:ascii="仿宋" w:hAnsi="仿宋" w:eastAsia="仿宋" w:cs="仿宋"/>
                <w:color w:val="000000"/>
                <w:sz w:val="24"/>
                <w:szCs w:val="24"/>
                <w:lang w:val="en-US" w:eastAsia="zh-CN"/>
              </w:rPr>
              <w:t>农历年前进入施工</w:t>
            </w:r>
            <w:r>
              <w:rPr>
                <w:rFonts w:hint="eastAsia" w:ascii="仿宋" w:hAnsi="仿宋" w:eastAsia="仿宋" w:cs="仿宋"/>
                <w:color w:val="000000"/>
                <w:sz w:val="24"/>
                <w:szCs w:val="24"/>
              </w:rPr>
              <w:t>；团湖水环境整治工程已完成实施方案、初步设计等相关前期工作；三角坪化工污染场地修复项目已完成</w:t>
            </w:r>
            <w:r>
              <w:rPr>
                <w:rFonts w:hint="eastAsia" w:ascii="仿宋" w:hAnsi="仿宋" w:eastAsia="仿宋" w:cs="仿宋"/>
                <w:color w:val="000000"/>
                <w:sz w:val="24"/>
                <w:szCs w:val="24"/>
                <w:lang w:val="en-US" w:eastAsia="zh-CN"/>
              </w:rPr>
              <w:t>施工并销号</w:t>
            </w:r>
            <w:r>
              <w:rPr>
                <w:rFonts w:hint="eastAsia" w:ascii="仿宋" w:hAnsi="仿宋" w:eastAsia="仿宋" w:cs="仿宋"/>
                <w:color w:val="000000"/>
                <w:sz w:val="24"/>
                <w:szCs w:val="24"/>
              </w:rPr>
              <w:t>；2021年度洗马小区等16个老旧小区改造项目点多面广，各个小区分段全面启动施工，目前已完成总建设进度40%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长江河道采砂项目</w:t>
            </w:r>
            <w:r>
              <w:rPr>
                <w:rFonts w:hint="eastAsia" w:ascii="仿宋" w:hAnsi="仿宋" w:eastAsia="仿宋" w:cs="仿宋"/>
                <w:color w:val="000000"/>
                <w:spacing w:val="-6"/>
                <w:sz w:val="24"/>
                <w:szCs w:val="24"/>
              </w:rPr>
              <w:t>拿到了“十四五”规划采砂的门票，</w:t>
            </w:r>
            <w:r>
              <w:rPr>
                <w:rFonts w:hint="eastAsia" w:ascii="仿宋" w:hAnsi="仿宋" w:eastAsia="仿宋" w:cs="仿宋"/>
                <w:color w:val="000000"/>
                <w:spacing w:val="-6"/>
                <w:sz w:val="24"/>
                <w:szCs w:val="24"/>
                <w:lang w:val="en-US" w:eastAsia="zh-CN"/>
              </w:rPr>
              <w:t>年度批准开采量80万吨，</w:t>
            </w:r>
            <w:r>
              <w:rPr>
                <w:rFonts w:hint="eastAsia" w:ascii="仿宋" w:hAnsi="仿宋" w:eastAsia="仿宋" w:cs="仿宋"/>
                <w:color w:val="000000"/>
                <w:spacing w:val="-6"/>
                <w:sz w:val="24"/>
                <w:szCs w:val="24"/>
              </w:rPr>
              <w:t>目前已完成地勘、可研和</w:t>
            </w:r>
            <w:r>
              <w:rPr>
                <w:rFonts w:hint="eastAsia" w:ascii="仿宋" w:hAnsi="仿宋" w:eastAsia="仿宋" w:cs="仿宋"/>
                <w:color w:val="000000"/>
                <w:spacing w:val="-6"/>
                <w:sz w:val="24"/>
                <w:szCs w:val="24"/>
                <w:lang w:val="en-US" w:eastAsia="zh-CN"/>
              </w:rPr>
              <w:t>航标配布方案等前期工作</w:t>
            </w:r>
            <w:r>
              <w:rPr>
                <w:rFonts w:hint="eastAsia" w:ascii="仿宋" w:hAnsi="仿宋" w:eastAsia="仿宋" w:cs="仿宋"/>
                <w:color w:val="000000"/>
                <w:spacing w:val="-6"/>
                <w:sz w:val="24"/>
                <w:szCs w:val="24"/>
              </w:rPr>
              <w:t>。</w:t>
            </w:r>
          </w:p>
          <w:p>
            <w:pPr>
              <w:autoSpaceDN w:val="0"/>
              <w:spacing w:line="320" w:lineRule="exact"/>
              <w:jc w:val="left"/>
              <w:textAlignment w:val="center"/>
              <w:rPr>
                <w:rFonts w:hint="eastAsia" w:ascii="仿宋_GB2312" w:hAnsi="仿宋_GB2312" w:eastAsia="黑体" w:cs="仿宋_GB2312"/>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149.46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57.76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75.95</w:t>
            </w:r>
          </w:p>
        </w:tc>
        <w:tc>
          <w:tcPr>
            <w:tcW w:w="170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61"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59"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56" w:type="dxa"/>
            <w:gridSpan w:val="5"/>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50"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34"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5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34"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86.64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86.64</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76.59</w:t>
            </w:r>
          </w:p>
        </w:tc>
        <w:tc>
          <w:tcPr>
            <w:tcW w:w="1876"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10.05</w:t>
            </w:r>
          </w:p>
        </w:tc>
        <w:tc>
          <w:tcPr>
            <w:tcW w:w="115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734"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5.06</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5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34"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5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34"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5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34"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70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0.09</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76"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40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目标1：全年预算申请到位和下达数量在95%以上，三公经费变动率</w:t>
            </w:r>
            <w:r>
              <w:rPr>
                <w:rFonts w:hint="eastAsia" w:ascii="Arial Unicode MS" w:hAnsi="Arial Unicode MS" w:eastAsia="Arial Unicode MS" w:cs="Arial Unicode MS"/>
                <w:color w:val="000000"/>
                <w:sz w:val="24"/>
              </w:rPr>
              <w:t>≤</w:t>
            </w:r>
            <w:r>
              <w:rPr>
                <w:rFonts w:hint="eastAsia" w:ascii="仿宋" w:hAnsi="仿宋" w:eastAsia="仿宋" w:cs="仿宋_GB2312"/>
                <w:color w:val="000000"/>
                <w:sz w:val="24"/>
              </w:rPr>
              <w:t>0。</w:t>
            </w:r>
          </w:p>
          <w:p>
            <w:pPr>
              <w:autoSpaceDN w:val="0"/>
              <w:spacing w:line="40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目标2： 按时按量完成投融资计划</w:t>
            </w:r>
            <w:r>
              <w:rPr>
                <w:rFonts w:hint="eastAsia" w:ascii="仿宋" w:hAnsi="仿宋" w:eastAsia="仿宋" w:cs="仿宋_GB2312"/>
                <w:color w:val="000000"/>
                <w:sz w:val="24"/>
                <w:lang w:eastAsia="zh-CN"/>
              </w:rPr>
              <w:t>，还本付息，保障项目顺利开展</w:t>
            </w:r>
            <w:r>
              <w:rPr>
                <w:rFonts w:hint="eastAsia" w:ascii="仿宋" w:hAnsi="仿宋" w:eastAsia="仿宋" w:cs="仿宋_GB2312"/>
                <w:color w:val="000000"/>
                <w:sz w:val="24"/>
              </w:rPr>
              <w:t>。</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rPr>
              <w:t>目标3：社会效益、经济效益、生态效益、可持续影响和社会公众满意度达到预期目标。</w:t>
            </w:r>
          </w:p>
        </w:tc>
        <w:tc>
          <w:tcPr>
            <w:tcW w:w="4585" w:type="dxa"/>
            <w:gridSpan w:val="9"/>
            <w:noWrap w:val="0"/>
            <w:vAlign w:val="center"/>
          </w:tcPr>
          <w:p>
            <w:pPr>
              <w:autoSpaceDN w:val="0"/>
              <w:spacing w:line="400" w:lineRule="exact"/>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目标1：全年预算申请到位和下达数量在95%以上，三公经费变动率</w:t>
            </w:r>
            <w:r>
              <w:rPr>
                <w:rFonts w:hint="eastAsia" w:ascii="Arial Unicode MS" w:hAnsi="Arial Unicode MS" w:eastAsia="Arial Unicode MS" w:cs="Arial Unicode MS"/>
                <w:color w:val="000000"/>
                <w:sz w:val="24"/>
              </w:rPr>
              <w:t>&lt;</w:t>
            </w:r>
            <w:r>
              <w:rPr>
                <w:rFonts w:hint="eastAsia" w:ascii="仿宋" w:hAnsi="仿宋" w:eastAsia="仿宋" w:cs="仿宋_GB2312"/>
                <w:color w:val="000000"/>
                <w:sz w:val="24"/>
              </w:rPr>
              <w:t>0;</w:t>
            </w:r>
          </w:p>
          <w:p>
            <w:pPr>
              <w:autoSpaceDN w:val="0"/>
              <w:spacing w:line="400" w:lineRule="exact"/>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rPr>
              <w:t>目标2：</w:t>
            </w:r>
            <w:r>
              <w:rPr>
                <w:rFonts w:hint="eastAsia" w:ascii="仿宋" w:hAnsi="仿宋" w:eastAsia="仿宋" w:cs="仿宋_GB2312"/>
                <w:color w:val="000000"/>
                <w:sz w:val="24"/>
                <w:highlight w:val="none"/>
              </w:rPr>
              <w:t>重点项目建设投入</w:t>
            </w:r>
            <w:r>
              <w:rPr>
                <w:rFonts w:hint="eastAsia" w:ascii="仿宋" w:hAnsi="仿宋" w:eastAsia="仿宋" w:cs="仿宋_GB2312"/>
                <w:color w:val="000000"/>
                <w:sz w:val="24"/>
                <w:highlight w:val="none"/>
                <w:lang w:val="en-US" w:eastAsia="zh-CN"/>
              </w:rPr>
              <w:t>1.5</w:t>
            </w:r>
            <w:r>
              <w:rPr>
                <w:rFonts w:hint="eastAsia" w:ascii="仿宋" w:hAnsi="仿宋" w:eastAsia="仿宋" w:cs="仿宋_GB2312"/>
                <w:color w:val="000000"/>
                <w:sz w:val="24"/>
                <w:highlight w:val="none"/>
              </w:rPr>
              <w:t>亿，偿还银行贷款本息</w:t>
            </w:r>
            <w:r>
              <w:rPr>
                <w:rFonts w:hint="eastAsia" w:ascii="仿宋" w:hAnsi="仿宋" w:eastAsia="仿宋" w:cs="仿宋_GB2312"/>
                <w:color w:val="000000"/>
                <w:sz w:val="24"/>
                <w:highlight w:val="none"/>
                <w:lang w:val="en-US" w:eastAsia="zh-CN"/>
              </w:rPr>
              <w:t>4.22</w:t>
            </w:r>
            <w:r>
              <w:rPr>
                <w:rFonts w:hint="eastAsia" w:ascii="仿宋" w:hAnsi="仿宋" w:eastAsia="仿宋" w:cs="仿宋_GB2312"/>
                <w:color w:val="000000"/>
                <w:sz w:val="24"/>
                <w:highlight w:val="none"/>
              </w:rPr>
              <w:t>亿；包装项目向银行融资，</w:t>
            </w:r>
            <w:r>
              <w:rPr>
                <w:rFonts w:hint="eastAsia" w:ascii="仿宋" w:hAnsi="仿宋" w:eastAsia="仿宋" w:cs="仿宋_GB2312"/>
                <w:color w:val="000000"/>
                <w:sz w:val="24"/>
                <w:highlight w:val="none"/>
                <w:lang w:eastAsia="zh-CN"/>
              </w:rPr>
              <w:t>获</w:t>
            </w:r>
            <w:r>
              <w:rPr>
                <w:rFonts w:hint="eastAsia" w:ascii="仿宋" w:hAnsi="仿宋" w:eastAsia="仿宋" w:cs="仿宋_GB2312"/>
                <w:color w:val="000000"/>
                <w:sz w:val="24"/>
                <w:highlight w:val="none"/>
              </w:rPr>
              <w:t>贷款资金</w:t>
            </w:r>
            <w:r>
              <w:rPr>
                <w:rFonts w:hint="eastAsia" w:ascii="仿宋" w:hAnsi="仿宋" w:eastAsia="仿宋" w:cs="仿宋_GB2312"/>
                <w:color w:val="000000"/>
                <w:sz w:val="24"/>
                <w:highlight w:val="none"/>
                <w:lang w:val="en-US" w:eastAsia="zh-CN"/>
              </w:rPr>
              <w:t>6.43</w:t>
            </w:r>
            <w:r>
              <w:rPr>
                <w:rFonts w:hint="eastAsia" w:ascii="仿宋" w:hAnsi="仿宋" w:eastAsia="仿宋" w:cs="仿宋_GB2312"/>
                <w:color w:val="000000"/>
                <w:sz w:val="24"/>
                <w:highlight w:val="none"/>
              </w:rPr>
              <w:t>亿元</w:t>
            </w:r>
            <w:r>
              <w:rPr>
                <w:rFonts w:hint="eastAsia" w:ascii="仿宋" w:hAnsi="仿宋" w:eastAsia="仿宋" w:cs="仿宋_GB2312"/>
                <w:color w:val="000000"/>
                <w:sz w:val="24"/>
                <w:highlight w:val="none"/>
                <w:lang w:eastAsia="zh-CN"/>
              </w:rPr>
              <w:t>。</w:t>
            </w:r>
          </w:p>
          <w:p>
            <w:pPr>
              <w:autoSpaceDN w:val="0"/>
              <w:spacing w:line="400" w:lineRule="exact"/>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highlight w:val="none"/>
              </w:rPr>
              <w:t>目标3：社会效益、经济效益、生态效益、可持续影响和社会公众满意度达到预期目标</w:t>
            </w:r>
            <w:r>
              <w:rPr>
                <w:rFonts w:hint="eastAsia" w:ascii="仿宋" w:hAnsi="仿宋" w:eastAsia="仿宋"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0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“三公经费”控制率</w:t>
            </w:r>
          </w:p>
        </w:tc>
        <w:tc>
          <w:tcPr>
            <w:tcW w:w="2684" w:type="dxa"/>
            <w:gridSpan w:val="5"/>
            <w:noWrap w:val="0"/>
            <w:vAlign w:val="center"/>
          </w:tcPr>
          <w:p>
            <w:pPr>
              <w:autoSpaceDN w:val="0"/>
              <w:spacing w:line="36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全年预算申请到位和下达数量在95%以上, 三公经费变动率</w:t>
            </w:r>
            <w:r>
              <w:rPr>
                <w:rFonts w:hint="eastAsia" w:ascii="Arial Unicode MS" w:hAnsi="Arial Unicode MS" w:eastAsia="Arial Unicode MS" w:cs="Arial Unicode MS"/>
                <w:color w:val="000000"/>
                <w:sz w:val="24"/>
              </w:rPr>
              <w:t>&lt;</w:t>
            </w:r>
            <w:r>
              <w:rPr>
                <w:rFonts w:hint="eastAsia" w:ascii="仿宋" w:hAnsi="仿宋" w:eastAsia="仿宋"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政府采购执行率</w:t>
            </w:r>
          </w:p>
        </w:tc>
        <w:tc>
          <w:tcPr>
            <w:tcW w:w="2684" w:type="dxa"/>
            <w:gridSpan w:val="5"/>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政府采购执行率等于100%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 w:hAnsi="仿宋" w:eastAsia="仿宋" w:cs="仿宋_GB2312"/>
                <w:color w:val="000000"/>
                <w:sz w:val="24"/>
              </w:rPr>
              <w:t>公务卡刷卡率</w:t>
            </w:r>
          </w:p>
        </w:tc>
        <w:tc>
          <w:tcPr>
            <w:tcW w:w="2684" w:type="dxa"/>
            <w:gridSpan w:val="5"/>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公务刷卡率等于90%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财政供养人员控制率</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财政供养人员控制率等于100%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投融资计划工作</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highlight w:val="none"/>
                <w:lang w:eastAsia="zh-CN"/>
              </w:rPr>
              <w:t>获银行</w:t>
            </w:r>
            <w:r>
              <w:rPr>
                <w:rFonts w:hint="eastAsia" w:ascii="仿宋" w:hAnsi="仿宋" w:eastAsia="仿宋" w:cs="仿宋_GB2312"/>
                <w:color w:val="000000"/>
                <w:sz w:val="24"/>
                <w:highlight w:val="none"/>
              </w:rPr>
              <w:t>贷款资金</w:t>
            </w:r>
            <w:r>
              <w:rPr>
                <w:rFonts w:hint="eastAsia" w:ascii="仿宋" w:hAnsi="仿宋" w:eastAsia="仿宋" w:cs="仿宋_GB2312"/>
                <w:color w:val="000000"/>
                <w:sz w:val="24"/>
                <w:highlight w:val="none"/>
                <w:lang w:val="en-US" w:eastAsia="zh-CN"/>
              </w:rPr>
              <w:t>6.43</w:t>
            </w:r>
            <w:r>
              <w:rPr>
                <w:rFonts w:hint="eastAsia" w:ascii="仿宋" w:hAnsi="仿宋" w:eastAsia="仿宋" w:cs="仿宋_GB2312"/>
                <w:color w:val="000000"/>
                <w:sz w:val="24"/>
                <w:highlight w:val="none"/>
              </w:rPr>
              <w:t>亿元</w:t>
            </w:r>
            <w:r>
              <w:rPr>
                <w:rFonts w:hint="eastAsia" w:ascii="仿宋" w:hAnsi="仿宋" w:eastAsia="仿宋" w:cs="仿宋_GB2312"/>
                <w:color w:val="00000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3：有效化债</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highlight w:val="none"/>
              </w:rPr>
              <w:t>偿还银行贷款本息</w:t>
            </w:r>
            <w:r>
              <w:rPr>
                <w:rFonts w:hint="eastAsia" w:ascii="仿宋" w:hAnsi="仿宋" w:eastAsia="仿宋" w:cs="仿宋_GB2312"/>
                <w:color w:val="000000"/>
                <w:sz w:val="24"/>
                <w:highlight w:val="none"/>
                <w:lang w:val="en-US" w:eastAsia="zh-CN"/>
              </w:rPr>
              <w:t>4.22</w:t>
            </w:r>
            <w:r>
              <w:rPr>
                <w:rFonts w:hint="eastAsia" w:ascii="仿宋" w:hAnsi="仿宋" w:eastAsia="仿宋" w:cs="仿宋_GB2312"/>
                <w:color w:val="000000"/>
                <w:sz w:val="24"/>
                <w:highlight w:val="none"/>
              </w:rPr>
              <w:t>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441" w:type="dxa"/>
            <w:vMerge w:val="continue"/>
            <w:noWrap w:val="0"/>
            <w:vAlign w:val="center"/>
          </w:tcPr>
          <w:p>
            <w:pPr>
              <w:autoSpaceDN w:val="0"/>
              <w:spacing w:line="320" w:lineRule="exact"/>
              <w:jc w:val="center"/>
              <w:textAlignment w:val="center"/>
            </w:pPr>
          </w:p>
        </w:tc>
        <w:tc>
          <w:tcPr>
            <w:tcW w:w="1549" w:type="dxa"/>
            <w:gridSpan w:val="4"/>
            <w:vMerge w:val="continue"/>
            <w:noWrap w:val="0"/>
            <w:vAlign w:val="center"/>
          </w:tcPr>
          <w:p>
            <w:pPr>
              <w:autoSpaceDN w:val="0"/>
              <w:spacing w:line="320" w:lineRule="exact"/>
              <w:jc w:val="center"/>
              <w:textAlignment w:val="center"/>
            </w:pPr>
          </w:p>
        </w:tc>
        <w:tc>
          <w:tcPr>
            <w:tcW w:w="1417" w:type="dxa"/>
            <w:gridSpan w:val="2"/>
            <w:vMerge w:val="continue"/>
            <w:noWrap w:val="0"/>
            <w:vAlign w:val="center"/>
          </w:tcPr>
          <w:p>
            <w:pPr>
              <w:autoSpaceDN w:val="0"/>
              <w:spacing w:line="320" w:lineRule="exact"/>
              <w:jc w:val="center"/>
              <w:textAlignment w:val="center"/>
            </w:pPr>
          </w:p>
        </w:tc>
        <w:tc>
          <w:tcPr>
            <w:tcW w:w="2709" w:type="dxa"/>
            <w:gridSpan w:val="5"/>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4：项目有序推进</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 w:cs="仿宋_GB2312"/>
                <w:color w:val="000000"/>
                <w:sz w:val="24"/>
                <w:szCs w:val="24"/>
                <w:lang w:eastAsia="zh-CN"/>
              </w:rPr>
            </w:pPr>
            <w:r>
              <w:rPr>
                <w:rFonts w:hint="eastAsia" w:ascii="仿宋" w:hAnsi="仿宋" w:eastAsia="仿宋" w:cs="仿宋_GB2312"/>
                <w:color w:val="000000"/>
                <w:sz w:val="24"/>
                <w:szCs w:val="24"/>
                <w:highlight w:val="none"/>
              </w:rPr>
              <w:t>重点项目建设投入</w:t>
            </w:r>
            <w:r>
              <w:rPr>
                <w:rFonts w:hint="eastAsia" w:ascii="仿宋" w:hAnsi="仿宋" w:eastAsia="仿宋" w:cs="仿宋_GB2312"/>
                <w:color w:val="000000"/>
                <w:sz w:val="24"/>
                <w:szCs w:val="24"/>
                <w:highlight w:val="none"/>
                <w:lang w:val="en-US" w:eastAsia="zh-CN"/>
              </w:rPr>
              <w:t>1.5</w:t>
            </w:r>
            <w:r>
              <w:rPr>
                <w:rFonts w:hint="eastAsia" w:ascii="仿宋" w:hAnsi="仿宋" w:eastAsia="仿宋" w:cs="仿宋_GB2312"/>
                <w:color w:val="000000"/>
                <w:sz w:val="24"/>
                <w:szCs w:val="24"/>
                <w:highlight w:val="none"/>
              </w:rPr>
              <w:t>亿</w:t>
            </w:r>
            <w:r>
              <w:rPr>
                <w:rFonts w:hint="eastAsia" w:ascii="仿宋" w:hAnsi="仿宋" w:eastAsia="仿宋" w:cs="仿宋_GB2312"/>
                <w:color w:val="000000"/>
                <w:sz w:val="24"/>
                <w:szCs w:val="24"/>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文苑农贸市场项目</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szCs w:val="24"/>
                <w:lang w:eastAsia="zh-CN"/>
              </w:rPr>
            </w:pPr>
            <w:r>
              <w:rPr>
                <w:rFonts w:hint="eastAsia" w:ascii="仿宋_GB2312" w:eastAsia="仿宋_GB2312"/>
                <w:sz w:val="24"/>
                <w:szCs w:val="24"/>
              </w:rPr>
              <w:t>文苑</w:t>
            </w:r>
            <w:r>
              <w:rPr>
                <w:rFonts w:hint="eastAsia" w:ascii="仿宋_GB2312" w:eastAsia="仿宋_GB2312"/>
                <w:color w:val="000000"/>
                <w:sz w:val="24"/>
                <w:szCs w:val="24"/>
                <w:lang w:val="en-US" w:eastAsia="zh-CN"/>
              </w:rPr>
              <w:t>已完工并交付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长岭污水处理厂建设项目</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szCs w:val="24"/>
                <w:lang w:eastAsia="zh-CN"/>
              </w:rPr>
            </w:pPr>
            <w:r>
              <w:rPr>
                <w:rFonts w:hint="eastAsia" w:ascii="仿宋_GB2312" w:eastAsia="仿宋_GB2312"/>
                <w:color w:val="000000"/>
                <w:sz w:val="24"/>
                <w:szCs w:val="24"/>
              </w:rPr>
              <w:t>已通过验收并投入运营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3：云溪区三角坪化工污染场地修复项目</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szCs w:val="24"/>
              </w:rPr>
            </w:pPr>
            <w:r>
              <w:rPr>
                <w:rFonts w:hint="eastAsia" w:ascii="仿宋_GB2312" w:eastAsia="仿宋_GB2312"/>
                <w:color w:val="000000"/>
                <w:sz w:val="24"/>
                <w:szCs w:val="24"/>
              </w:rPr>
              <w:t>已完成</w:t>
            </w:r>
            <w:r>
              <w:rPr>
                <w:rFonts w:hint="eastAsia" w:ascii="仿宋_GB2312" w:eastAsia="仿宋_GB2312"/>
                <w:color w:val="000000"/>
                <w:sz w:val="24"/>
                <w:szCs w:val="24"/>
                <w:lang w:val="en-US" w:eastAsia="zh-CN"/>
              </w:rPr>
              <w:t>施工并销号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5" w:hRule="atLeast"/>
          <w:jc w:val="center"/>
        </w:trPr>
        <w:tc>
          <w:tcPr>
            <w:tcW w:w="1441" w:type="dxa"/>
            <w:vMerge w:val="continue"/>
            <w:noWrap w:val="0"/>
            <w:vAlign w:val="center"/>
          </w:tcPr>
          <w:p>
            <w:pPr>
              <w:autoSpaceDN w:val="0"/>
              <w:spacing w:line="320" w:lineRule="exact"/>
              <w:jc w:val="center"/>
              <w:textAlignment w:val="center"/>
            </w:pPr>
          </w:p>
        </w:tc>
        <w:tc>
          <w:tcPr>
            <w:tcW w:w="1549" w:type="dxa"/>
            <w:gridSpan w:val="4"/>
            <w:vMerge w:val="continue"/>
            <w:noWrap w:val="0"/>
            <w:vAlign w:val="center"/>
          </w:tcPr>
          <w:p>
            <w:pPr>
              <w:autoSpaceDN w:val="0"/>
              <w:spacing w:line="320" w:lineRule="exact"/>
              <w:jc w:val="center"/>
              <w:textAlignment w:val="center"/>
            </w:pPr>
          </w:p>
        </w:tc>
        <w:tc>
          <w:tcPr>
            <w:tcW w:w="1417" w:type="dxa"/>
            <w:gridSpan w:val="2"/>
            <w:vMerge w:val="continue"/>
            <w:noWrap w:val="0"/>
            <w:vAlign w:val="center"/>
          </w:tcPr>
          <w:p>
            <w:pPr>
              <w:autoSpaceDN w:val="0"/>
              <w:spacing w:line="320" w:lineRule="exact"/>
              <w:jc w:val="center"/>
              <w:textAlignment w:val="center"/>
            </w:pPr>
          </w:p>
        </w:tc>
        <w:tc>
          <w:tcPr>
            <w:tcW w:w="2709" w:type="dxa"/>
            <w:gridSpan w:val="5"/>
            <w:noWrap w:val="0"/>
            <w:vAlign w:val="top"/>
          </w:tcPr>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4：</w:t>
            </w:r>
            <w:r>
              <w:rPr>
                <w:rFonts w:hint="eastAsia" w:ascii="仿宋_GB2312" w:eastAsia="仿宋_GB2312"/>
                <w:color w:val="000000"/>
                <w:sz w:val="24"/>
                <w:szCs w:val="24"/>
              </w:rPr>
              <w:t>团湖水环境整治工程</w:t>
            </w:r>
            <w:r>
              <w:rPr>
                <w:rFonts w:hint="eastAsia" w:ascii="仿宋_GB2312" w:eastAsia="仿宋_GB2312"/>
                <w:color w:val="000000"/>
                <w:sz w:val="24"/>
                <w:szCs w:val="24"/>
                <w:lang w:eastAsia="zh-CN"/>
              </w:rPr>
              <w:t>项目</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eastAsia="仿宋_GB2312"/>
                <w:color w:val="000000"/>
                <w:sz w:val="24"/>
                <w:szCs w:val="24"/>
              </w:rPr>
              <w:t>已完成实施方案、初步设计等相关前期工作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 w:hAnsi="仿宋" w:eastAsia="仿宋" w:cs="仿宋_GB2312"/>
                <w:color w:val="auto"/>
                <w:sz w:val="24"/>
              </w:rPr>
              <w:t>财政支出绩效目标</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auto"/>
                <w:sz w:val="24"/>
              </w:rPr>
            </w:pPr>
            <w:r>
              <w:rPr>
                <w:rFonts w:hint="eastAsia" w:ascii="仿宋" w:hAnsi="仿宋" w:eastAsia="仿宋" w:cs="仿宋_GB2312"/>
                <w:color w:val="auto"/>
                <w:sz w:val="24"/>
              </w:rPr>
              <w:t>20</w:t>
            </w:r>
            <w:r>
              <w:rPr>
                <w:rFonts w:hint="eastAsia" w:ascii="仿宋" w:hAnsi="仿宋" w:eastAsia="仿宋" w:cs="仿宋_GB2312"/>
                <w:color w:val="auto"/>
                <w:sz w:val="24"/>
                <w:lang w:val="en-US" w:eastAsia="zh-CN"/>
              </w:rPr>
              <w:t>21</w:t>
            </w:r>
            <w:r>
              <w:rPr>
                <w:rFonts w:hint="eastAsia" w:ascii="仿宋" w:hAnsi="仿宋" w:eastAsia="仿宋" w:cs="仿宋_GB2312"/>
                <w:color w:val="auto"/>
                <w:sz w:val="24"/>
              </w:rPr>
              <w:t>年度财政支出累计</w:t>
            </w:r>
            <w:r>
              <w:rPr>
                <w:rFonts w:hint="eastAsia" w:ascii="仿宋" w:hAnsi="仿宋" w:eastAsia="仿宋" w:cs="仿宋_GB2312"/>
                <w:color w:val="auto"/>
                <w:sz w:val="24"/>
                <w:lang w:val="en-US" w:eastAsia="zh-CN"/>
              </w:rPr>
              <w:t>86.64</w:t>
            </w:r>
            <w:r>
              <w:rPr>
                <w:rFonts w:hint="eastAsia" w:ascii="仿宋" w:hAnsi="仿宋" w:eastAsia="仿宋" w:cs="仿宋_GB2312"/>
                <w:color w:val="auto"/>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项目支出</w:t>
            </w:r>
          </w:p>
        </w:tc>
        <w:tc>
          <w:tcPr>
            <w:tcW w:w="2684" w:type="dxa"/>
            <w:gridSpan w:val="5"/>
            <w:noWrap w:val="0"/>
            <w:vAlign w:val="center"/>
          </w:tcPr>
          <w:p>
            <w:pPr>
              <w:autoSpaceDN w:val="0"/>
              <w:spacing w:line="320" w:lineRule="exact"/>
              <w:jc w:val="left"/>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2021年度投入重点工程项目共计1.5亿元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rPr>
              <w:t>指标1：</w:t>
            </w:r>
            <w:r>
              <w:rPr>
                <w:rFonts w:hint="eastAsia" w:ascii="仿宋_GB2312" w:eastAsia="仿宋_GB2312"/>
                <w:color w:val="000000"/>
                <w:sz w:val="24"/>
                <w:szCs w:val="24"/>
              </w:rPr>
              <w:t>长岭污水处理厂已通过验收并投入运营；</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指标2：</w:t>
            </w:r>
            <w:r>
              <w:rPr>
                <w:rFonts w:hint="eastAsia" w:ascii="仿宋_GB2312" w:eastAsia="仿宋_GB2312"/>
                <w:color w:val="000000"/>
                <w:sz w:val="24"/>
                <w:szCs w:val="24"/>
              </w:rPr>
              <w:t>文苑农贸市场及公租房项目</w:t>
            </w:r>
            <w:r>
              <w:rPr>
                <w:rFonts w:hint="eastAsia" w:ascii="仿宋_GB2312" w:eastAsia="仿宋_GB2312"/>
                <w:color w:val="000000"/>
                <w:sz w:val="24"/>
                <w:szCs w:val="24"/>
                <w:lang w:val="en-US" w:eastAsia="zh-CN"/>
              </w:rPr>
              <w:t>已完工并交付</w:t>
            </w:r>
          </w:p>
        </w:tc>
        <w:tc>
          <w:tcPr>
            <w:tcW w:w="2684" w:type="dxa"/>
            <w:gridSpan w:val="5"/>
            <w:noWrap w:val="0"/>
            <w:vAlign w:val="center"/>
          </w:tcPr>
          <w:p>
            <w:pPr>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改善居民生活环境，社会效益显著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33"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有序推进市场化转型</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 w:cs="仿宋_GB2312"/>
                <w:b/>
                <w:color w:val="000000"/>
                <w:sz w:val="24"/>
                <w:szCs w:val="24"/>
                <w:lang w:val="en-US" w:eastAsia="zh-CN"/>
              </w:rPr>
            </w:pPr>
            <w:r>
              <w:rPr>
                <w:rFonts w:hint="eastAsia" w:ascii="仿宋" w:hAnsi="仿宋" w:eastAsia="仿宋" w:cs="仿宋"/>
                <w:sz w:val="24"/>
                <w:szCs w:val="24"/>
                <w:lang w:val="en-US" w:eastAsia="zh-CN"/>
              </w:rPr>
              <w:t>和庆源公司发展态势良好，全年</w:t>
            </w:r>
            <w:r>
              <w:rPr>
                <w:rFonts w:hint="eastAsia" w:ascii="仿宋" w:hAnsi="仿宋" w:eastAsia="仿宋" w:cs="仿宋"/>
                <w:sz w:val="24"/>
                <w:szCs w:val="24"/>
              </w:rPr>
              <w:t>参与投标次数486次，中标39个</w:t>
            </w:r>
            <w:r>
              <w:rPr>
                <w:rFonts w:hint="eastAsia" w:ascii="仿宋" w:hAnsi="仿宋" w:eastAsia="仿宋" w:cs="仿宋"/>
                <w:sz w:val="24"/>
                <w:szCs w:val="24"/>
                <w:lang w:val="en-US" w:eastAsia="zh-CN"/>
              </w:rPr>
              <w:t>,</w:t>
            </w:r>
            <w:r>
              <w:rPr>
                <w:rFonts w:hint="eastAsia" w:ascii="仿宋" w:hAnsi="仿宋" w:eastAsia="仿宋" w:cs="仿宋"/>
                <w:sz w:val="24"/>
                <w:szCs w:val="24"/>
              </w:rPr>
              <w:t>中标累计金额3.41亿元,上缴税收1838.2万元，</w:t>
            </w:r>
            <w:r>
              <w:rPr>
                <w:rFonts w:hint="eastAsia" w:ascii="仿宋" w:hAnsi="仿宋" w:eastAsia="仿宋" w:cs="仿宋"/>
                <w:color w:val="000000"/>
                <w:sz w:val="24"/>
                <w:szCs w:val="24"/>
              </w:rPr>
              <w:t>取得良好经济效益</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枫桥湖商业配套项目已</w:t>
            </w:r>
            <w:r>
              <w:rPr>
                <w:rFonts w:hint="eastAsia" w:ascii="仿宋" w:hAnsi="仿宋" w:eastAsia="仿宋" w:cs="仿宋"/>
                <w:color w:val="000000"/>
                <w:sz w:val="24"/>
                <w:szCs w:val="24"/>
                <w:lang w:val="en-US" w:eastAsia="zh-CN"/>
              </w:rPr>
              <w:t>进行了招拍出租</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已成交1个大门面12个小门面</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城南公租房门面已全部出租，房屋出租202间；</w:t>
            </w:r>
            <w:r>
              <w:rPr>
                <w:rFonts w:hint="eastAsia" w:ascii="仿宋" w:hAnsi="仿宋" w:eastAsia="仿宋" w:cs="仿宋"/>
                <w:color w:val="000000"/>
                <w:sz w:val="24"/>
                <w:szCs w:val="24"/>
              </w:rPr>
              <w:t>道仁矶加油站项目已</w:t>
            </w:r>
            <w:r>
              <w:rPr>
                <w:rFonts w:hint="eastAsia" w:ascii="仿宋" w:hAnsi="仿宋" w:eastAsia="仿宋" w:cs="仿宋"/>
                <w:color w:val="000000"/>
                <w:sz w:val="24"/>
                <w:szCs w:val="24"/>
                <w:lang w:val="en-US" w:eastAsia="zh-CN"/>
              </w:rPr>
              <w:t>完成建设</w:t>
            </w:r>
            <w:r>
              <w:rPr>
                <w:rFonts w:hint="eastAsia" w:ascii="仿宋" w:hAnsi="仿宋" w:eastAsia="仿宋" w:cs="仿宋"/>
                <w:color w:val="000000"/>
                <w:sz w:val="24"/>
                <w:szCs w:val="24"/>
              </w:rPr>
              <w:t>投入</w:t>
            </w:r>
            <w:r>
              <w:rPr>
                <w:rFonts w:hint="eastAsia" w:ascii="仿宋" w:hAnsi="仿宋" w:eastAsia="仿宋" w:cs="仿宋"/>
                <w:color w:val="000000"/>
                <w:sz w:val="24"/>
                <w:szCs w:val="24"/>
                <w:lang w:val="en-US" w:eastAsia="zh-CN"/>
              </w:rPr>
              <w:t>运营，月营业额达到31万元。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4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noWrap w:val="0"/>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rPr>
              <w:t>指</w:t>
            </w:r>
            <w:r>
              <w:rPr>
                <w:rFonts w:hint="eastAsia" w:ascii="仿宋_GB2312" w:hAnsi="仿宋_GB2312" w:eastAsia="仿宋_GB2312" w:cs="仿宋_GB2312"/>
                <w:color w:val="000000"/>
                <w:sz w:val="24"/>
                <w:szCs w:val="24"/>
              </w:rPr>
              <w:t>标1：</w:t>
            </w:r>
            <w:r>
              <w:rPr>
                <w:rFonts w:hint="eastAsia" w:ascii="仿宋_GB2312" w:eastAsia="仿宋_GB2312"/>
                <w:color w:val="000000"/>
                <w:sz w:val="24"/>
                <w:szCs w:val="24"/>
              </w:rPr>
              <w:t>团湖水环境整治工程已完成实施方案、初步设计等相关前期工作</w:t>
            </w:r>
            <w:r>
              <w:rPr>
                <w:rFonts w:hint="eastAsia" w:ascii="仿宋_GB2312" w:eastAsia="仿宋_GB2312"/>
                <w:color w:val="000000"/>
                <w:sz w:val="24"/>
                <w:szCs w:val="24"/>
                <w:lang w:val="en-US" w:eastAsia="zh-CN"/>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szCs w:val="24"/>
              </w:rPr>
              <w:t>指标2：</w:t>
            </w:r>
            <w:r>
              <w:rPr>
                <w:rFonts w:hint="eastAsia" w:ascii="仿宋_GB2312" w:eastAsia="仿宋_GB2312"/>
                <w:color w:val="000000"/>
                <w:sz w:val="24"/>
                <w:szCs w:val="24"/>
              </w:rPr>
              <w:t>三角坪化工污染场地修复项目已完成</w:t>
            </w:r>
            <w:r>
              <w:rPr>
                <w:rFonts w:hint="eastAsia" w:ascii="仿宋_GB2312" w:eastAsia="仿宋_GB2312"/>
                <w:color w:val="000000"/>
                <w:sz w:val="24"/>
                <w:szCs w:val="24"/>
                <w:lang w:val="en-US" w:eastAsia="zh-CN"/>
              </w:rPr>
              <w:t>施工并销号。</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 w:hAnsi="仿宋" w:eastAsia="仿宋" w:cs="仿宋_GB2312"/>
                <w:color w:val="000000"/>
                <w:sz w:val="24"/>
                <w:szCs w:val="24"/>
              </w:rPr>
              <w:t>提高生态环境质量，生态环境效益显著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noWrap w:val="0"/>
            <w:vAlign w:val="center"/>
          </w:tcPr>
          <w:p>
            <w:pPr>
              <w:spacing w:line="360" w:lineRule="exact"/>
              <w:jc w:val="left"/>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社会公众满意度</w:t>
            </w:r>
          </w:p>
        </w:tc>
        <w:tc>
          <w:tcPr>
            <w:tcW w:w="2684" w:type="dxa"/>
            <w:gridSpan w:val="5"/>
            <w:noWrap w:val="0"/>
            <w:vAlign w:val="center"/>
          </w:tcPr>
          <w:p>
            <w:pPr>
              <w:spacing w:line="300" w:lineRule="exact"/>
              <w:jc w:val="left"/>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rPr>
              <w:t>社会公众或服务对象满意度为95%以上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陈志刚</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任</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丁永强</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副</w:t>
            </w:r>
            <w:r>
              <w:rPr>
                <w:rFonts w:hint="eastAsia" w:ascii="仿宋_GB2312" w:hAnsi="仿宋_GB2312" w:eastAsia="仿宋_GB2312" w:cs="仿宋_GB2312"/>
                <w:color w:val="000000"/>
                <w:sz w:val="24"/>
                <w:lang w:val="en-US" w:eastAsia="zh-CN"/>
              </w:rPr>
              <w:t xml:space="preserve"> 主 任</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李亦良</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副</w:t>
            </w:r>
            <w:r>
              <w:rPr>
                <w:rFonts w:hint="eastAsia" w:ascii="仿宋_GB2312" w:hAnsi="仿宋_GB2312" w:eastAsia="仿宋_GB2312" w:cs="仿宋_GB2312"/>
                <w:color w:val="000000"/>
                <w:sz w:val="24"/>
                <w:lang w:val="en-US" w:eastAsia="zh-CN"/>
              </w:rPr>
              <w:t xml:space="preserve"> 主 任</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卢岳兰</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财务部长</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0"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r>
              <w:rPr>
                <w:rFonts w:hint="eastAsia" w:eastAsia="仿宋_GB2312"/>
                <w:b/>
                <w:bCs/>
                <w:sz w:val="28"/>
                <w:szCs w:val="28"/>
              </w:rPr>
              <w:t>（</w:t>
            </w:r>
            <w:r>
              <w:rPr>
                <w:rFonts w:hint="eastAsia" w:eastAsia="仿宋_GB2312"/>
                <w:b/>
                <w:bCs/>
                <w:sz w:val="28"/>
                <w:szCs w:val="28"/>
                <w:lang w:eastAsia="zh-CN"/>
              </w:rPr>
              <w:t>参考提纲</w:t>
            </w:r>
            <w:r>
              <w:rPr>
                <w:rFonts w:hint="eastAsia" w:eastAsia="仿宋_GB2312"/>
                <w:b/>
                <w:bCs/>
                <w:sz w:val="28"/>
                <w:szCs w:val="28"/>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一、部门（单位）概况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部门（单位）基本情况</w:t>
            </w:r>
          </w:p>
          <w:p>
            <w:pPr>
              <w:spacing w:line="500" w:lineRule="exact"/>
              <w:ind w:firstLine="480" w:firstLineChars="200"/>
              <w:rPr>
                <w:rFonts w:hint="eastAsia"/>
              </w:rPr>
            </w:pPr>
            <w:r>
              <w:rPr>
                <w:rFonts w:hint="eastAsia" w:ascii="仿宋" w:hAnsi="仿宋" w:eastAsia="仿宋" w:cs="仿宋_GB2312"/>
                <w:color w:val="000000"/>
                <w:sz w:val="24"/>
              </w:rPr>
              <w:t>岳阳市云溪区城市建设投资管理中心主要职责是代区政府行使筹措管理城建资金。负责对国有资产投资项目和城市建设投资项目资金的监督管理。单位下设</w:t>
            </w:r>
            <w:r>
              <w:rPr>
                <w:rFonts w:hint="eastAsia" w:ascii="仿宋" w:hAnsi="仿宋" w:eastAsia="仿宋" w:cs="仿宋_GB2312"/>
                <w:color w:val="000000"/>
                <w:sz w:val="24"/>
                <w:lang w:eastAsia="zh-CN"/>
              </w:rPr>
              <w:t>综合部、法务资产部、融资部、投资经营部、工程部、计划财务部</w:t>
            </w:r>
            <w:r>
              <w:rPr>
                <w:rFonts w:hint="eastAsia" w:ascii="仿宋" w:hAnsi="仿宋" w:eastAsia="仿宋" w:cs="仿宋_GB2312"/>
                <w:color w:val="000000"/>
                <w:sz w:val="24"/>
                <w:lang w:val="en-US" w:eastAsia="zh-CN"/>
              </w:rPr>
              <w:t>6个部门</w:t>
            </w:r>
            <w:r>
              <w:rPr>
                <w:rFonts w:hint="eastAsia" w:ascii="仿宋" w:hAnsi="仿宋" w:eastAsia="仿宋" w:cs="仿宋_GB2312"/>
                <w:color w:val="000000"/>
                <w:sz w:val="24"/>
                <w:lang w:eastAsia="zh-CN"/>
              </w:rPr>
              <w:t>，核定编制</w:t>
            </w:r>
            <w:r>
              <w:rPr>
                <w:rFonts w:hint="eastAsia" w:ascii="仿宋" w:hAnsi="仿宋" w:eastAsia="仿宋" w:cs="仿宋_GB2312"/>
                <w:color w:val="000000"/>
                <w:sz w:val="24"/>
                <w:lang w:val="en-US" w:eastAsia="zh-CN"/>
              </w:rPr>
              <w:t>11个，2021年末</w:t>
            </w:r>
            <w:r>
              <w:rPr>
                <w:rFonts w:hint="eastAsia" w:ascii="仿宋" w:hAnsi="仿宋" w:eastAsia="仿宋" w:cs="仿宋_GB2312"/>
                <w:color w:val="000000"/>
                <w:sz w:val="24"/>
              </w:rPr>
              <w:t>共有在职人员</w:t>
            </w:r>
            <w:r>
              <w:rPr>
                <w:rFonts w:hint="eastAsia" w:ascii="仿宋" w:hAnsi="仿宋" w:eastAsia="仿宋" w:cs="仿宋_GB2312"/>
                <w:color w:val="000000"/>
                <w:sz w:val="24"/>
                <w:lang w:val="en-US" w:eastAsia="zh-CN"/>
              </w:rPr>
              <w:t>8</w:t>
            </w:r>
            <w:r>
              <w:rPr>
                <w:rFonts w:hint="eastAsia" w:ascii="仿宋" w:hAnsi="仿宋" w:eastAsia="仿宋" w:cs="仿宋_GB2312"/>
                <w:color w:val="000000"/>
                <w:sz w:val="24"/>
              </w:rPr>
              <w:t>人，其中：在编人员</w:t>
            </w:r>
            <w:r>
              <w:rPr>
                <w:rFonts w:hint="eastAsia" w:ascii="仿宋" w:hAnsi="仿宋" w:eastAsia="仿宋" w:cs="仿宋_GB2312"/>
                <w:color w:val="000000"/>
                <w:sz w:val="24"/>
                <w:lang w:val="en-US" w:eastAsia="zh-CN"/>
              </w:rPr>
              <w:t>8</w:t>
            </w:r>
            <w:r>
              <w:rPr>
                <w:rFonts w:hint="eastAsia" w:ascii="仿宋" w:hAnsi="仿宋" w:eastAsia="仿宋" w:cs="仿宋_GB2312"/>
                <w:color w:val="000000"/>
                <w:sz w:val="24"/>
              </w:rPr>
              <w:t>人（全额预算编制人员</w:t>
            </w:r>
            <w:r>
              <w:rPr>
                <w:rFonts w:hint="eastAsia" w:ascii="仿宋" w:hAnsi="仿宋" w:eastAsia="仿宋" w:cs="仿宋_GB2312"/>
                <w:color w:val="000000"/>
                <w:sz w:val="24"/>
                <w:lang w:val="en-US" w:eastAsia="zh-CN"/>
              </w:rPr>
              <w:t>7</w:t>
            </w:r>
            <w:r>
              <w:rPr>
                <w:rFonts w:hint="eastAsia" w:ascii="仿宋" w:hAnsi="仿宋" w:eastAsia="仿宋" w:cs="仿宋_GB2312"/>
                <w:color w:val="000000"/>
                <w:sz w:val="24"/>
              </w:rPr>
              <w:t>人，退</w:t>
            </w:r>
            <w:r>
              <w:rPr>
                <w:rFonts w:hint="eastAsia" w:ascii="仿宋" w:hAnsi="仿宋" w:eastAsia="仿宋" w:cs="仿宋_GB2312"/>
                <w:color w:val="000000"/>
                <w:sz w:val="24"/>
                <w:lang w:eastAsia="zh-CN"/>
              </w:rPr>
              <w:t>休人员</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人）。</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一般公共预算支出情况</w:t>
            </w:r>
          </w:p>
          <w:p>
            <w:pPr>
              <w:pStyle w:val="2"/>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单位整体支出管理及使用情况</w:t>
            </w:r>
          </w:p>
          <w:p>
            <w:pPr>
              <w:pStyle w:val="2"/>
              <w:numPr>
                <w:ilvl w:val="0"/>
                <w:numId w:val="0"/>
              </w:num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2021年度总支出38445.03万元，其中基本支出86.64万元（人员支出76.59万元，公用支出10.05万元），其他支出70265.3万元。</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基本支出</w:t>
            </w:r>
            <w:r>
              <w:rPr>
                <w:rFonts w:hint="eastAsia" w:ascii="宋体" w:hAnsi="宋体" w:eastAsia="宋体" w:cs="宋体"/>
                <w:bCs/>
                <w:color w:val="auto"/>
                <w:sz w:val="24"/>
                <w:szCs w:val="24"/>
                <w:lang w:eastAsia="zh-CN"/>
              </w:rPr>
              <w:t>情况</w:t>
            </w:r>
          </w:p>
          <w:p>
            <w:pPr>
              <w:pStyle w:val="13"/>
              <w:spacing w:line="500" w:lineRule="exact"/>
              <w:ind w:firstLine="468"/>
              <w:rPr>
                <w:rFonts w:hint="eastAsia"/>
                <w:color w:val="auto"/>
                <w:lang w:eastAsia="zh-CN"/>
              </w:rPr>
            </w:pPr>
            <w:r>
              <w:rPr>
                <w:rFonts w:hint="eastAsia" w:ascii="仿宋" w:hAnsi="仿宋" w:eastAsia="仿宋" w:cs="仿宋_GB2312"/>
                <w:color w:val="auto"/>
                <w:sz w:val="24"/>
                <w:szCs w:val="24"/>
              </w:rPr>
              <w:t>20</w:t>
            </w:r>
            <w:r>
              <w:rPr>
                <w:rFonts w:hint="eastAsia" w:ascii="仿宋" w:hAnsi="仿宋" w:eastAsia="仿宋" w:cs="仿宋_GB2312"/>
                <w:color w:val="auto"/>
                <w:sz w:val="24"/>
                <w:szCs w:val="24"/>
                <w:lang w:val="en-US" w:eastAsia="zh-CN"/>
              </w:rPr>
              <w:t>21</w:t>
            </w:r>
            <w:r>
              <w:rPr>
                <w:rFonts w:hint="eastAsia" w:ascii="仿宋" w:hAnsi="仿宋" w:eastAsia="仿宋" w:cs="仿宋_GB2312"/>
                <w:color w:val="auto"/>
                <w:sz w:val="24"/>
                <w:szCs w:val="24"/>
              </w:rPr>
              <w:t>年，单位按照厉行节约、保证重点、注重资金使用效益的原则，确保机关运行工作严格按要求顺利开展。20</w:t>
            </w:r>
            <w:r>
              <w:rPr>
                <w:rFonts w:hint="eastAsia" w:ascii="仿宋" w:hAnsi="仿宋" w:eastAsia="仿宋" w:cs="仿宋_GB2312"/>
                <w:color w:val="auto"/>
                <w:sz w:val="24"/>
                <w:szCs w:val="24"/>
                <w:lang w:val="en-US" w:eastAsia="zh-CN"/>
              </w:rPr>
              <w:t>21</w:t>
            </w:r>
            <w:r>
              <w:rPr>
                <w:rFonts w:hint="eastAsia" w:ascii="仿宋" w:hAnsi="仿宋" w:eastAsia="仿宋" w:cs="仿宋_GB2312"/>
                <w:color w:val="auto"/>
                <w:sz w:val="24"/>
                <w:szCs w:val="24"/>
              </w:rPr>
              <w:t>年单位基本支出共计</w:t>
            </w:r>
            <w:r>
              <w:rPr>
                <w:rFonts w:hint="eastAsia" w:ascii="仿宋" w:hAnsi="仿宋" w:eastAsia="仿宋" w:cs="仿宋_GB2312"/>
                <w:color w:val="auto"/>
                <w:sz w:val="24"/>
                <w:szCs w:val="24"/>
                <w:lang w:val="en-US" w:eastAsia="zh-CN"/>
              </w:rPr>
              <w:t>86.64</w:t>
            </w:r>
            <w:r>
              <w:rPr>
                <w:rFonts w:hint="eastAsia" w:ascii="仿宋" w:hAnsi="仿宋" w:eastAsia="仿宋" w:cs="仿宋_GB2312"/>
                <w:color w:val="auto"/>
                <w:sz w:val="24"/>
                <w:szCs w:val="24"/>
              </w:rPr>
              <w:t>万元，主要用于人员支出</w:t>
            </w:r>
            <w:r>
              <w:rPr>
                <w:rFonts w:hint="eastAsia" w:ascii="仿宋" w:hAnsi="仿宋" w:eastAsia="仿宋" w:cs="仿宋_GB2312"/>
                <w:color w:val="auto"/>
                <w:sz w:val="24"/>
                <w:szCs w:val="24"/>
                <w:lang w:val="en-US" w:eastAsia="zh-CN"/>
              </w:rPr>
              <w:t>76.59</w:t>
            </w:r>
            <w:r>
              <w:rPr>
                <w:rFonts w:hint="eastAsia" w:ascii="仿宋" w:hAnsi="仿宋" w:eastAsia="仿宋" w:cs="仿宋_GB2312"/>
                <w:color w:val="auto"/>
                <w:sz w:val="24"/>
                <w:szCs w:val="24"/>
              </w:rPr>
              <w:t>万元，公用支出</w:t>
            </w:r>
            <w:r>
              <w:rPr>
                <w:rFonts w:hint="eastAsia" w:ascii="仿宋" w:hAnsi="仿宋" w:eastAsia="仿宋" w:cs="仿宋_GB2312"/>
                <w:color w:val="auto"/>
                <w:sz w:val="24"/>
                <w:szCs w:val="24"/>
                <w:lang w:val="en-US" w:eastAsia="zh-CN"/>
              </w:rPr>
              <w:t>10.05</w:t>
            </w:r>
            <w:r>
              <w:rPr>
                <w:rFonts w:hint="eastAsia" w:ascii="仿宋" w:hAnsi="仿宋" w:eastAsia="仿宋" w:cs="仿宋_GB2312"/>
                <w:color w:val="auto"/>
                <w:sz w:val="24"/>
                <w:szCs w:val="24"/>
              </w:rPr>
              <w:t>万元。单位“三公经费”支出</w:t>
            </w:r>
            <w:r>
              <w:rPr>
                <w:rFonts w:hint="eastAsia" w:ascii="仿宋" w:hAnsi="仿宋" w:eastAsia="仿宋" w:cs="仿宋_GB2312"/>
                <w:color w:val="auto"/>
                <w:sz w:val="24"/>
                <w:szCs w:val="24"/>
                <w:lang w:val="en-US" w:eastAsia="zh-CN"/>
              </w:rPr>
              <w:t>0.09</w:t>
            </w:r>
            <w:r>
              <w:rPr>
                <w:rFonts w:hint="eastAsia" w:ascii="仿宋" w:hAnsi="仿宋" w:eastAsia="仿宋" w:cs="仿宋_GB2312"/>
                <w:color w:val="auto"/>
                <w:sz w:val="24"/>
                <w:szCs w:val="24"/>
              </w:rPr>
              <w:t>万元，其中：公务接待费</w:t>
            </w:r>
            <w:r>
              <w:rPr>
                <w:rFonts w:hint="eastAsia" w:ascii="仿宋" w:hAnsi="仿宋" w:eastAsia="仿宋" w:cs="仿宋_GB2312"/>
                <w:color w:val="auto"/>
                <w:sz w:val="24"/>
                <w:szCs w:val="24"/>
                <w:lang w:val="en-US" w:eastAsia="zh-CN"/>
              </w:rPr>
              <w:t>0.09</w:t>
            </w:r>
            <w:r>
              <w:rPr>
                <w:rFonts w:hint="eastAsia" w:ascii="仿宋" w:hAnsi="仿宋" w:eastAsia="仿宋" w:cs="仿宋_GB2312"/>
                <w:color w:val="auto"/>
                <w:sz w:val="24"/>
                <w:szCs w:val="24"/>
              </w:rPr>
              <w:t>万元，公务用车运行维护费</w:t>
            </w:r>
            <w:r>
              <w:rPr>
                <w:rFonts w:hint="eastAsia" w:ascii="仿宋" w:hAnsi="仿宋" w:eastAsia="仿宋" w:cs="仿宋_GB2312"/>
                <w:color w:val="auto"/>
                <w:sz w:val="24"/>
                <w:szCs w:val="24"/>
                <w:lang w:val="en-US" w:eastAsia="zh-CN"/>
              </w:rPr>
              <w:t>0</w:t>
            </w:r>
            <w:r>
              <w:rPr>
                <w:rFonts w:hint="eastAsia" w:ascii="仿宋" w:hAnsi="仿宋" w:eastAsia="仿宋" w:cs="仿宋_GB2312"/>
                <w:color w:val="auto"/>
                <w:sz w:val="24"/>
                <w:szCs w:val="24"/>
              </w:rPr>
              <w:t>万元，因公出国（境）费0万元。我单位严控“三公”经费支出，未超标支出。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（二）</w:t>
            </w:r>
            <w:r>
              <w:rPr>
                <w:rFonts w:hint="eastAsia" w:ascii="宋体" w:hAnsi="宋体" w:eastAsia="宋体" w:cs="宋体"/>
                <w:bCs/>
                <w:color w:val="auto"/>
                <w:sz w:val="24"/>
                <w:szCs w:val="24"/>
                <w:lang w:eastAsia="zh-CN"/>
              </w:rPr>
              <w:t>项目</w:t>
            </w:r>
            <w:r>
              <w:rPr>
                <w:rFonts w:hint="eastAsia" w:ascii="宋体" w:hAnsi="宋体" w:eastAsia="宋体" w:cs="宋体"/>
                <w:bCs/>
                <w:color w:val="auto"/>
                <w:sz w:val="24"/>
                <w:szCs w:val="24"/>
              </w:rPr>
              <w:t>支出</w:t>
            </w:r>
            <w:r>
              <w:rPr>
                <w:rFonts w:hint="eastAsia" w:ascii="宋体" w:hAnsi="宋体" w:eastAsia="宋体" w:cs="宋体"/>
                <w:bCs/>
                <w:color w:val="auto"/>
                <w:sz w:val="24"/>
                <w:szCs w:val="24"/>
                <w:lang w:eastAsia="zh-CN"/>
              </w:rPr>
              <w:t>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2021年度对附属单位补助支出共计70265.3万元。用于单位项目建设及还本付息支出。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三、政府性基金预算支出情况：无</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四、国有资本经营预算支出情况：无</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五、社会保险基金预算支出情况：无</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ascii="黑体" w:hAnsi="黑体" w:eastAsia="黑体" w:cs="黑体"/>
                <w:bCs/>
                <w:sz w:val="24"/>
                <w:szCs w:val="24"/>
                <w:lang w:val="en-US" w:eastAsia="zh-CN"/>
              </w:rPr>
              <w:t>六、部门整体支出绩效情况</w:t>
            </w:r>
          </w:p>
          <w:p>
            <w:pPr>
              <w:widowControl/>
              <w:ind w:firstLine="480" w:firstLineChars="200"/>
              <w:textAlignment w:val="baseline"/>
              <w:rPr>
                <w:rFonts w:hint="eastAsia" w:ascii="仿宋_GB2312" w:hAnsi="仿宋" w:eastAsia="仿宋_GB2312"/>
                <w:sz w:val="24"/>
                <w:szCs w:val="24"/>
              </w:rPr>
            </w:pPr>
            <w:r>
              <w:rPr>
                <w:rFonts w:hint="eastAsia" w:ascii="仿宋" w:hAnsi="仿宋" w:eastAsia="仿宋" w:cs="仿宋_GB2312"/>
                <w:color w:val="000000"/>
                <w:sz w:val="24"/>
                <w:szCs w:val="24"/>
              </w:rPr>
              <w:t>20</w:t>
            </w:r>
            <w:r>
              <w:rPr>
                <w:rFonts w:hint="eastAsia" w:ascii="仿宋" w:hAnsi="仿宋" w:eastAsia="仿宋" w:cs="仿宋_GB2312"/>
                <w:color w:val="000000"/>
                <w:sz w:val="24"/>
                <w:szCs w:val="24"/>
                <w:lang w:val="en-US" w:eastAsia="zh-CN"/>
              </w:rPr>
              <w:t>21</w:t>
            </w:r>
            <w:r>
              <w:rPr>
                <w:rFonts w:hint="eastAsia" w:ascii="仿宋" w:hAnsi="仿宋" w:eastAsia="仿宋" w:cs="仿宋_GB2312"/>
                <w:color w:val="000000"/>
                <w:sz w:val="24"/>
                <w:szCs w:val="24"/>
              </w:rPr>
              <w:t>年，</w:t>
            </w:r>
            <w:r>
              <w:rPr>
                <w:rFonts w:hint="eastAsia" w:ascii="仿宋_GB2312" w:eastAsia="仿宋_GB2312"/>
                <w:sz w:val="24"/>
                <w:szCs w:val="24"/>
              </w:rPr>
              <w:t>区城建投在区委的领导下，紧紧围绕年初确定的工作目标，</w:t>
            </w:r>
            <w:r>
              <w:rPr>
                <w:rFonts w:hint="eastAsia" w:ascii="仿宋_GB2312" w:hAnsi="仿宋" w:eastAsia="仿宋_GB2312"/>
                <w:sz w:val="24"/>
                <w:szCs w:val="24"/>
              </w:rPr>
              <w:t>理清思路，攻坚</w:t>
            </w:r>
          </w:p>
          <w:p>
            <w:pPr>
              <w:widowControl/>
              <w:textAlignment w:val="baseline"/>
              <w:rPr>
                <w:rFonts w:hint="eastAsia" w:ascii="仿宋_GB2312" w:hAnsi="仿宋" w:eastAsia="仿宋_GB2312"/>
                <w:sz w:val="24"/>
                <w:szCs w:val="24"/>
              </w:rPr>
            </w:pPr>
          </w:p>
          <w:p>
            <w:pPr>
              <w:widowControl/>
              <w:textAlignment w:val="baseline"/>
              <w:rPr>
                <w:rFonts w:hint="eastAsia" w:ascii="仿宋" w:hAnsi="仿宋" w:eastAsia="仿宋" w:cs="仿宋_GB2312"/>
                <w:color w:val="000000"/>
                <w:sz w:val="24"/>
              </w:rPr>
            </w:pPr>
            <w:r>
              <w:rPr>
                <w:rFonts w:hint="eastAsia" w:ascii="仿宋_GB2312" w:hAnsi="仿宋" w:eastAsia="仿宋_GB2312"/>
                <w:sz w:val="24"/>
                <w:szCs w:val="24"/>
              </w:rPr>
              <w:t>克难，逐条落实，较好地完成了工作任务</w:t>
            </w:r>
            <w:r>
              <w:rPr>
                <w:rFonts w:hint="eastAsia" w:ascii="仿宋_GB2312" w:hAnsi="仿宋" w:eastAsia="仿宋_GB2312"/>
                <w:sz w:val="24"/>
                <w:szCs w:val="24"/>
                <w:lang w:eastAsia="zh-CN"/>
              </w:rPr>
              <w:t>，</w:t>
            </w:r>
            <w:r>
              <w:rPr>
                <w:rFonts w:hint="eastAsia" w:ascii="仿宋" w:hAnsi="仿宋" w:eastAsia="仿宋" w:cs="仿宋_GB2312"/>
                <w:color w:val="000000"/>
                <w:sz w:val="24"/>
                <w:szCs w:val="24"/>
              </w:rPr>
              <w:t>极</w:t>
            </w:r>
            <w:r>
              <w:rPr>
                <w:rFonts w:hint="eastAsia" w:ascii="仿宋" w:hAnsi="仿宋" w:eastAsia="仿宋" w:cs="仿宋_GB2312"/>
                <w:color w:val="000000"/>
                <w:sz w:val="24"/>
              </w:rPr>
              <w:t>大地降低了融资成本，缓解了区财政资金压</w:t>
            </w:r>
          </w:p>
          <w:p>
            <w:pPr>
              <w:widowControl/>
              <w:textAlignment w:val="baseline"/>
              <w:rPr>
                <w:rFonts w:hint="eastAsia" w:ascii="仿宋" w:hAnsi="仿宋" w:eastAsia="仿宋" w:cs="仿宋_GB2312"/>
                <w:color w:val="000000"/>
                <w:sz w:val="24"/>
              </w:rPr>
            </w:pPr>
          </w:p>
          <w:p>
            <w:pPr>
              <w:widowControl/>
              <w:textAlignment w:val="baseline"/>
              <w:rPr>
                <w:rFonts w:ascii="仿宋" w:hAnsi="仿宋" w:eastAsia="仿宋" w:cs="仿宋_GB2312"/>
                <w:color w:val="000000"/>
                <w:sz w:val="24"/>
              </w:rPr>
            </w:pPr>
            <w:r>
              <w:rPr>
                <w:rFonts w:hint="eastAsia" w:ascii="仿宋" w:hAnsi="仿宋" w:eastAsia="仿宋" w:cs="仿宋_GB2312"/>
                <w:color w:val="000000"/>
                <w:sz w:val="24"/>
              </w:rPr>
              <w:t>力，为云溪区城市建设提供了极大的资金支持。</w:t>
            </w:r>
          </w:p>
          <w:p>
            <w:pPr>
              <w:widowControl/>
              <w:spacing w:line="500" w:lineRule="exact"/>
              <w:ind w:firstLine="482" w:firstLineChars="200"/>
              <w:rPr>
                <w:rFonts w:hint="eastAsia" w:ascii="仿宋" w:hAnsi="仿宋" w:eastAsia="仿宋" w:cs="仿宋_GB2312"/>
                <w:b/>
                <w:bCs/>
                <w:color w:val="auto"/>
                <w:sz w:val="24"/>
              </w:rPr>
            </w:pPr>
            <w:r>
              <w:rPr>
                <w:rFonts w:hint="eastAsia" w:ascii="仿宋" w:hAnsi="仿宋" w:eastAsia="仿宋" w:cs="仿宋_GB2312"/>
                <w:b/>
                <w:color w:val="auto"/>
                <w:sz w:val="24"/>
              </w:rPr>
              <w:t>（一）</w:t>
            </w:r>
            <w:r>
              <w:rPr>
                <w:rFonts w:hint="eastAsia" w:ascii="仿宋" w:hAnsi="仿宋" w:eastAsia="仿宋" w:cs="仿宋"/>
                <w:b/>
                <w:bCs/>
                <w:sz w:val="24"/>
                <w:szCs w:val="24"/>
              </w:rPr>
              <w:t>融资保链，预防区域性金融风险</w:t>
            </w:r>
          </w:p>
          <w:p>
            <w:pPr>
              <w:ind w:firstLine="480" w:firstLineChars="200"/>
              <w:textAlignment w:val="baseline"/>
              <w:rPr>
                <w:rFonts w:hint="eastAsia" w:ascii="仿宋_GB2312" w:eastAsia="仿宋_GB2312"/>
                <w:sz w:val="24"/>
                <w:szCs w:val="24"/>
              </w:rPr>
            </w:pPr>
          </w:p>
          <w:p>
            <w:pPr>
              <w:ind w:firstLine="480" w:firstLineChars="200"/>
              <w:textAlignment w:val="baseline"/>
              <w:rPr>
                <w:rFonts w:hint="eastAsia" w:ascii="仿宋_GB2312" w:eastAsia="仿宋_GB2312"/>
                <w:sz w:val="24"/>
                <w:szCs w:val="24"/>
              </w:rPr>
            </w:pPr>
            <w:r>
              <w:rPr>
                <w:rFonts w:hint="eastAsia" w:ascii="仿宋_GB2312" w:eastAsia="仿宋_GB2312"/>
                <w:sz w:val="24"/>
                <w:szCs w:val="24"/>
              </w:rPr>
              <w:t>对照政府隐性债务风险化解方案狠抓落实，多措并举，全力填补区内资金缺口，缓解</w:t>
            </w:r>
          </w:p>
          <w:p>
            <w:pPr>
              <w:textAlignment w:val="baseline"/>
              <w:rPr>
                <w:rFonts w:hint="eastAsia" w:ascii="仿宋_GB2312" w:eastAsia="仿宋_GB2312"/>
                <w:sz w:val="24"/>
                <w:szCs w:val="24"/>
              </w:rPr>
            </w:pPr>
          </w:p>
          <w:p>
            <w:pPr>
              <w:textAlignment w:val="baseline"/>
              <w:rPr>
                <w:rFonts w:hint="eastAsia" w:ascii="仿宋_GB2312" w:eastAsia="仿宋_GB2312"/>
                <w:sz w:val="24"/>
                <w:szCs w:val="24"/>
              </w:rPr>
            </w:pPr>
            <w:r>
              <w:rPr>
                <w:rFonts w:hint="eastAsia" w:ascii="仿宋_GB2312" w:eastAsia="仿宋_GB2312"/>
                <w:sz w:val="24"/>
                <w:szCs w:val="24"/>
              </w:rPr>
              <w:t>财政压力。面对还本付息高峰的压力和融资政策收紧的环境，我们主动改变思路方向，认</w:t>
            </w:r>
          </w:p>
          <w:p>
            <w:pPr>
              <w:textAlignment w:val="baseline"/>
              <w:rPr>
                <w:rFonts w:hint="eastAsia" w:ascii="仿宋_GB2312" w:eastAsia="仿宋_GB2312"/>
                <w:sz w:val="24"/>
                <w:szCs w:val="24"/>
              </w:rPr>
            </w:pPr>
          </w:p>
          <w:p>
            <w:pPr>
              <w:textAlignment w:val="baseline"/>
              <w:rPr>
                <w:rFonts w:hint="eastAsia" w:ascii="仿宋_GB2312" w:eastAsia="仿宋_GB2312"/>
                <w:sz w:val="24"/>
                <w:szCs w:val="24"/>
              </w:rPr>
            </w:pPr>
            <w:r>
              <w:rPr>
                <w:rFonts w:hint="eastAsia" w:ascii="仿宋_GB2312" w:eastAsia="仿宋_GB2312"/>
                <w:sz w:val="24"/>
                <w:szCs w:val="24"/>
              </w:rPr>
              <w:t>真研究形势和政策，积极协调对接银行，全力争取贷款项目支持。全年共获得贷款项目资</w:t>
            </w:r>
          </w:p>
          <w:p>
            <w:pPr>
              <w:textAlignment w:val="baseline"/>
              <w:rPr>
                <w:rFonts w:hint="eastAsia" w:ascii="仿宋_GB2312" w:eastAsia="仿宋_GB2312"/>
                <w:sz w:val="24"/>
                <w:szCs w:val="24"/>
              </w:rPr>
            </w:pPr>
          </w:p>
          <w:p>
            <w:pPr>
              <w:textAlignment w:val="baseline"/>
              <w:rPr>
                <w:rFonts w:hint="eastAsia" w:ascii="仿宋" w:hAnsi="仿宋" w:eastAsia="仿宋" w:cs="仿宋_GB2312"/>
                <w:color w:val="000000"/>
                <w:sz w:val="24"/>
                <w:szCs w:val="24"/>
                <w:lang w:val="en-US" w:eastAsia="zh-CN"/>
              </w:rPr>
            </w:pPr>
            <w:r>
              <w:rPr>
                <w:rFonts w:hint="eastAsia" w:ascii="仿宋_GB2312" w:eastAsia="仿宋_GB2312"/>
                <w:sz w:val="24"/>
                <w:szCs w:val="24"/>
              </w:rPr>
              <w:t>金6.</w:t>
            </w:r>
            <w:r>
              <w:rPr>
                <w:rFonts w:hint="eastAsia" w:ascii="仿宋_GB2312" w:eastAsia="仿宋_GB2312"/>
                <w:sz w:val="24"/>
                <w:szCs w:val="24"/>
                <w:lang w:val="en-US" w:eastAsia="zh-CN"/>
              </w:rPr>
              <w:t>4</w:t>
            </w:r>
            <w:r>
              <w:rPr>
                <w:rFonts w:hint="eastAsia" w:ascii="仿宋_GB2312" w:eastAsia="仿宋_GB2312"/>
                <w:sz w:val="24"/>
                <w:szCs w:val="24"/>
              </w:rPr>
              <w:t>3亿元，确保了全年</w:t>
            </w:r>
            <w:r>
              <w:rPr>
                <w:rFonts w:hint="eastAsia" w:ascii="仿宋_GB2312" w:eastAsia="仿宋_GB2312"/>
                <w:sz w:val="24"/>
                <w:szCs w:val="24"/>
                <w:lang w:val="en-US" w:eastAsia="zh-CN"/>
              </w:rPr>
              <w:t>4.22</w:t>
            </w:r>
            <w:r>
              <w:rPr>
                <w:rFonts w:hint="eastAsia" w:ascii="仿宋_GB2312" w:eastAsia="仿宋_GB2312"/>
                <w:sz w:val="24"/>
                <w:szCs w:val="24"/>
              </w:rPr>
              <w:t>亿元的还本付息及</w:t>
            </w:r>
            <w:r>
              <w:rPr>
                <w:rFonts w:hint="eastAsia" w:ascii="仿宋_GB2312" w:eastAsia="仿宋_GB2312"/>
                <w:sz w:val="24"/>
                <w:szCs w:val="24"/>
                <w:lang w:val="en-US" w:eastAsia="zh-CN"/>
              </w:rPr>
              <w:t>1.5</w:t>
            </w:r>
            <w:r>
              <w:rPr>
                <w:rFonts w:hint="eastAsia" w:ascii="仿宋_GB2312" w:eastAsia="仿宋_GB2312"/>
                <w:sz w:val="24"/>
                <w:szCs w:val="24"/>
              </w:rPr>
              <w:t>亿元的工程款兑付。</w:t>
            </w:r>
          </w:p>
          <w:p>
            <w:pPr>
              <w:widowControl/>
              <w:spacing w:line="500" w:lineRule="exact"/>
              <w:ind w:firstLine="482" w:firstLineChars="200"/>
              <w:rPr>
                <w:rFonts w:hint="eastAsia" w:ascii="仿宋" w:hAnsi="仿宋" w:eastAsia="仿宋" w:cs="仿宋_GB2312"/>
                <w:b/>
                <w:color w:val="000000"/>
                <w:sz w:val="24"/>
                <w:lang w:eastAsia="zh-CN"/>
              </w:rPr>
            </w:pPr>
            <w:r>
              <w:rPr>
                <w:rFonts w:hint="eastAsia" w:ascii="仿宋" w:hAnsi="仿宋" w:eastAsia="仿宋" w:cs="仿宋_GB2312"/>
                <w:b/>
                <w:color w:val="000000"/>
                <w:sz w:val="24"/>
              </w:rPr>
              <w:t>（二）</w:t>
            </w:r>
            <w:r>
              <w:rPr>
                <w:rFonts w:hint="eastAsia" w:ascii="仿宋" w:hAnsi="仿宋" w:eastAsia="仿宋" w:cs="仿宋_GB2312"/>
                <w:b/>
                <w:color w:val="000000"/>
                <w:sz w:val="24"/>
                <w:lang w:eastAsia="zh-CN"/>
              </w:rPr>
              <w:t>市场化转型</w:t>
            </w:r>
          </w:p>
          <w:p>
            <w:pPr>
              <w:spacing w:line="600" w:lineRule="exact"/>
              <w:ind w:firstLine="480" w:firstLineChars="200"/>
              <w:rPr>
                <w:rFonts w:hint="eastAsia" w:ascii="仿宋_GB2312" w:eastAsia="仿宋_GB2312"/>
                <w:sz w:val="24"/>
                <w:szCs w:val="24"/>
              </w:rPr>
            </w:pPr>
            <w:r>
              <w:rPr>
                <w:rFonts w:hint="eastAsia" w:ascii="仿宋" w:hAnsi="仿宋" w:eastAsia="仿宋" w:cs="仿宋_GB2312"/>
                <w:color w:val="000000"/>
                <w:sz w:val="24"/>
                <w:szCs w:val="24"/>
              </w:rPr>
              <w:t>20</w:t>
            </w:r>
            <w:r>
              <w:rPr>
                <w:rFonts w:hint="eastAsia" w:ascii="仿宋" w:hAnsi="仿宋" w:eastAsia="仿宋" w:cs="仿宋_GB2312"/>
                <w:color w:val="000000"/>
                <w:sz w:val="24"/>
                <w:szCs w:val="24"/>
                <w:lang w:val="en-US" w:eastAsia="zh-CN"/>
              </w:rPr>
              <w:t>21</w:t>
            </w:r>
            <w:r>
              <w:rPr>
                <w:rFonts w:hint="eastAsia" w:ascii="仿宋" w:hAnsi="仿宋" w:eastAsia="仿宋" w:cs="仿宋_GB2312"/>
                <w:color w:val="000000"/>
                <w:sz w:val="24"/>
                <w:szCs w:val="24"/>
              </w:rPr>
              <w:t>年，</w:t>
            </w:r>
            <w:r>
              <w:rPr>
                <w:rFonts w:hint="eastAsia" w:ascii="仿宋" w:hAnsi="仿宋" w:eastAsia="仿宋" w:cs="仿宋_GB2312"/>
                <w:color w:val="000000"/>
                <w:sz w:val="24"/>
                <w:szCs w:val="24"/>
                <w:lang w:eastAsia="zh-CN"/>
              </w:rPr>
              <w:t>城投</w:t>
            </w:r>
            <w:r>
              <w:rPr>
                <w:rFonts w:hint="eastAsia" w:ascii="仿宋" w:hAnsi="仿宋" w:eastAsia="仿宋"/>
                <w:sz w:val="24"/>
                <w:szCs w:val="24"/>
                <w:lang w:val="en-US" w:eastAsia="zh-CN"/>
              </w:rPr>
              <w:t>转型工作亮牌破局，和庆源公司发展态势良好，全年</w:t>
            </w:r>
            <w:r>
              <w:rPr>
                <w:rFonts w:hint="eastAsia" w:ascii="仿宋_GB2312" w:eastAsia="仿宋_GB2312"/>
                <w:sz w:val="24"/>
                <w:szCs w:val="24"/>
              </w:rPr>
              <w:t>参与投标次数486次，中标39个，中标累计金额3</w:t>
            </w:r>
            <w:r>
              <w:rPr>
                <w:rFonts w:ascii="仿宋_GB2312" w:eastAsia="仿宋_GB2312"/>
                <w:sz w:val="24"/>
                <w:szCs w:val="24"/>
              </w:rPr>
              <w:t>.41亿</w:t>
            </w:r>
            <w:r>
              <w:rPr>
                <w:rFonts w:hint="eastAsia" w:ascii="仿宋_GB2312" w:eastAsia="仿宋_GB2312"/>
                <w:sz w:val="24"/>
                <w:szCs w:val="24"/>
              </w:rPr>
              <w:t>元,其中：合作项目8个，金额为</w:t>
            </w:r>
            <w:r>
              <w:rPr>
                <w:rFonts w:ascii="仿宋_GB2312" w:eastAsia="仿宋_GB2312"/>
                <w:sz w:val="24"/>
                <w:szCs w:val="24"/>
              </w:rPr>
              <w:t>4530</w:t>
            </w:r>
            <w:r>
              <w:rPr>
                <w:rFonts w:hint="eastAsia" w:ascii="仿宋_GB2312" w:eastAsia="仿宋_GB2312"/>
                <w:sz w:val="24"/>
                <w:szCs w:val="24"/>
              </w:rPr>
              <w:t>万元，400万以下项目中标26个，金额为5170万元，</w:t>
            </w:r>
            <w:r>
              <w:rPr>
                <w:rFonts w:hint="eastAsia" w:ascii="仿宋_GB2312" w:eastAsia="仿宋_GB2312"/>
                <w:sz w:val="24"/>
                <w:szCs w:val="24"/>
                <w:lang w:eastAsia="zh-CN"/>
              </w:rPr>
              <w:t>“</w:t>
            </w:r>
            <w:r>
              <w:rPr>
                <w:rFonts w:hint="eastAsia" w:ascii="仿宋_GB2312" w:eastAsia="仿宋_GB2312"/>
                <w:sz w:val="24"/>
                <w:szCs w:val="24"/>
                <w:lang w:val="en-US" w:eastAsia="zh-CN"/>
              </w:rPr>
              <w:t>双业主</w:t>
            </w:r>
            <w:r>
              <w:rPr>
                <w:rFonts w:hint="eastAsia" w:ascii="仿宋_GB2312" w:eastAsia="仿宋_GB2312"/>
                <w:sz w:val="24"/>
                <w:szCs w:val="24"/>
                <w:lang w:eastAsia="zh-CN"/>
              </w:rPr>
              <w:t>”</w:t>
            </w:r>
            <w:r>
              <w:rPr>
                <w:rFonts w:hint="eastAsia" w:ascii="仿宋_GB2312" w:eastAsia="仿宋_GB2312"/>
                <w:sz w:val="24"/>
                <w:szCs w:val="24"/>
              </w:rPr>
              <w:t>项目5个，金额为2</w:t>
            </w:r>
            <w:r>
              <w:rPr>
                <w:rFonts w:ascii="仿宋_GB2312" w:eastAsia="仿宋_GB2312"/>
                <w:sz w:val="24"/>
                <w:szCs w:val="24"/>
              </w:rPr>
              <w:t>.44亿</w:t>
            </w:r>
            <w:r>
              <w:rPr>
                <w:rFonts w:hint="eastAsia" w:ascii="仿宋_GB2312" w:eastAsia="仿宋_GB2312"/>
                <w:sz w:val="24"/>
                <w:szCs w:val="24"/>
              </w:rPr>
              <w:t>元，目前完成总产值2</w:t>
            </w:r>
            <w:r>
              <w:rPr>
                <w:rFonts w:ascii="仿宋_GB2312" w:eastAsia="仿宋_GB2312"/>
                <w:sz w:val="24"/>
                <w:szCs w:val="24"/>
              </w:rPr>
              <w:t>.1亿</w:t>
            </w:r>
            <w:r>
              <w:rPr>
                <w:rFonts w:hint="eastAsia" w:ascii="仿宋_GB2312" w:eastAsia="仿宋_GB2312"/>
                <w:sz w:val="24"/>
                <w:szCs w:val="24"/>
              </w:rPr>
              <w:t>元，上缴税收1838.2万元</w:t>
            </w:r>
            <w:r>
              <w:rPr>
                <w:rFonts w:ascii="仿宋_GB2312" w:eastAsia="仿宋_GB2312"/>
                <w:sz w:val="24"/>
                <w:szCs w:val="24"/>
              </w:rPr>
              <w:t>，</w:t>
            </w:r>
            <w:r>
              <w:rPr>
                <w:rFonts w:hint="eastAsia" w:ascii="仿宋_GB2312" w:eastAsia="仿宋_GB2312"/>
                <w:color w:val="000000"/>
                <w:sz w:val="24"/>
                <w:szCs w:val="24"/>
              </w:rPr>
              <w:t>取得良好经济效益</w:t>
            </w:r>
            <w:r>
              <w:rPr>
                <w:rFonts w:hint="eastAsia" w:ascii="仿宋_GB2312" w:eastAsia="仿宋_GB2312"/>
                <w:color w:val="000000"/>
                <w:sz w:val="24"/>
                <w:szCs w:val="24"/>
                <w:lang w:eastAsia="zh-CN"/>
              </w:rPr>
              <w:t>。</w:t>
            </w:r>
            <w:r>
              <w:rPr>
                <w:rFonts w:hint="eastAsia" w:ascii="仿宋_GB2312" w:eastAsia="仿宋_GB2312"/>
                <w:color w:val="000000"/>
                <w:sz w:val="24"/>
                <w:szCs w:val="24"/>
                <w:lang w:val="en-US" w:eastAsia="zh-CN"/>
              </w:rPr>
              <w:t>同时，转型项目稳步推进。</w:t>
            </w:r>
            <w:r>
              <w:rPr>
                <w:rFonts w:hint="eastAsia" w:ascii="仿宋_GB2312" w:eastAsia="仿宋_GB2312"/>
                <w:color w:val="000000"/>
                <w:sz w:val="24"/>
                <w:szCs w:val="24"/>
              </w:rPr>
              <w:t>长岭污水处理厂已通过验收并投入运营；文苑农贸市场及公租房项目</w:t>
            </w:r>
            <w:r>
              <w:rPr>
                <w:rFonts w:hint="eastAsia" w:ascii="仿宋_GB2312" w:eastAsia="仿宋_GB2312"/>
                <w:color w:val="000000"/>
                <w:sz w:val="24"/>
                <w:szCs w:val="24"/>
                <w:lang w:val="en-US" w:eastAsia="zh-CN"/>
              </w:rPr>
              <w:t>已完工并交付；</w:t>
            </w:r>
            <w:r>
              <w:rPr>
                <w:rFonts w:hint="eastAsia" w:ascii="仿宋_GB2312" w:eastAsia="仿宋_GB2312"/>
                <w:color w:val="000000"/>
                <w:sz w:val="24"/>
                <w:szCs w:val="24"/>
              </w:rPr>
              <w:t>固废处置项目克服群众多次阻工、地质岩层复杂等重重困难有序推进，</w:t>
            </w:r>
            <w:r>
              <w:rPr>
                <w:rFonts w:hint="eastAsia" w:ascii="仿宋_GB2312" w:eastAsia="仿宋_GB2312"/>
                <w:color w:val="000000"/>
                <w:sz w:val="24"/>
                <w:szCs w:val="24"/>
                <w:lang w:val="en-US" w:eastAsia="zh-CN"/>
              </w:rPr>
              <w:t>主体已全部完工</w:t>
            </w:r>
            <w:r>
              <w:rPr>
                <w:rFonts w:hint="eastAsia" w:ascii="仿宋_GB2312" w:eastAsia="仿宋_GB2312"/>
                <w:color w:val="000000"/>
                <w:sz w:val="24"/>
                <w:szCs w:val="24"/>
              </w:rPr>
              <w:t>；枫桥湖商业配套项目已</w:t>
            </w:r>
            <w:r>
              <w:rPr>
                <w:rFonts w:hint="eastAsia" w:ascii="仿宋_GB2312" w:eastAsia="仿宋_GB2312"/>
                <w:color w:val="000000"/>
                <w:sz w:val="24"/>
                <w:szCs w:val="24"/>
                <w:lang w:val="en-US" w:eastAsia="zh-CN"/>
              </w:rPr>
              <w:t>进行了招拍出租</w:t>
            </w: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已成交1个大门面12个小门面（共</w:t>
            </w:r>
            <w:r>
              <w:rPr>
                <w:rFonts w:ascii="仿宋_GB2312" w:eastAsia="仿宋_GB2312"/>
                <w:color w:val="000000"/>
                <w:sz w:val="24"/>
                <w:szCs w:val="24"/>
                <w:lang w:val="en-US" w:eastAsia="zh-CN"/>
              </w:rPr>
              <w:t>4</w:t>
            </w:r>
            <w:r>
              <w:rPr>
                <w:rFonts w:hint="eastAsia" w:ascii="仿宋_GB2312" w:eastAsia="仿宋_GB2312"/>
                <w:color w:val="000000"/>
                <w:sz w:val="24"/>
                <w:szCs w:val="24"/>
                <w:lang w:val="en-US" w:eastAsia="zh-CN"/>
              </w:rPr>
              <w:t>个大门面12个小门面）</w:t>
            </w: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城南公租房门面已全部出租，房屋出租202间（共210间）；</w:t>
            </w:r>
            <w:r>
              <w:rPr>
                <w:rFonts w:hint="eastAsia" w:ascii="仿宋_GB2312" w:eastAsia="仿宋_GB2312"/>
                <w:color w:val="000000"/>
                <w:sz w:val="24"/>
                <w:szCs w:val="24"/>
              </w:rPr>
              <w:t>道仁矶加油站项目已</w:t>
            </w:r>
            <w:r>
              <w:rPr>
                <w:rFonts w:hint="eastAsia" w:ascii="仿宋_GB2312" w:eastAsia="仿宋_GB2312"/>
                <w:color w:val="000000"/>
                <w:sz w:val="24"/>
                <w:szCs w:val="24"/>
                <w:lang w:val="en-US" w:eastAsia="zh-CN"/>
              </w:rPr>
              <w:t>完成建设</w:t>
            </w:r>
            <w:r>
              <w:rPr>
                <w:rFonts w:hint="eastAsia" w:ascii="仿宋_GB2312" w:eastAsia="仿宋_GB2312"/>
                <w:color w:val="000000"/>
                <w:sz w:val="24"/>
                <w:szCs w:val="24"/>
              </w:rPr>
              <w:t>投入</w:t>
            </w:r>
            <w:r>
              <w:rPr>
                <w:rFonts w:hint="eastAsia" w:ascii="仿宋_GB2312" w:eastAsia="仿宋_GB2312"/>
                <w:color w:val="000000"/>
                <w:sz w:val="24"/>
                <w:szCs w:val="24"/>
                <w:lang w:val="en-US" w:eastAsia="zh-CN"/>
              </w:rPr>
              <w:t>运营，月营业额达到31万元。</w:t>
            </w:r>
          </w:p>
          <w:p>
            <w:pPr>
              <w:widowControl/>
              <w:spacing w:line="500" w:lineRule="exact"/>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（三）关注重点工程投入及建设</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eastAsia="仿宋_GB2312"/>
                <w:color w:val="000000"/>
                <w:sz w:val="24"/>
                <w:szCs w:val="24"/>
                <w:lang w:val="en-US" w:eastAsia="zh-CN"/>
              </w:rPr>
            </w:pPr>
            <w:r>
              <w:rPr>
                <w:rFonts w:hint="eastAsia" w:ascii="仿宋_GB2312" w:eastAsia="仿宋_GB2312"/>
                <w:sz w:val="24"/>
                <w:szCs w:val="24"/>
              </w:rPr>
              <w:t>紧紧围绕区委、区政府确定的目标任务，强化责任担当，发挥城建职能，做好公益与收益项目结合文章，全力服务民生实事和生态文明项目建设。</w:t>
            </w:r>
            <w:r>
              <w:rPr>
                <w:rFonts w:hint="eastAsia" w:ascii="仿宋_GB2312" w:eastAsia="仿宋_GB2312"/>
                <w:color w:val="000000"/>
                <w:sz w:val="24"/>
                <w:szCs w:val="24"/>
              </w:rPr>
              <w:t>商品混凝土项目</w:t>
            </w:r>
            <w:r>
              <w:rPr>
                <w:rFonts w:hint="eastAsia" w:ascii="仿宋_GB2312" w:eastAsia="仿宋_GB2312"/>
                <w:color w:val="000000"/>
                <w:sz w:val="24"/>
                <w:szCs w:val="24"/>
                <w:lang w:val="en-US" w:eastAsia="zh-CN"/>
              </w:rPr>
              <w:t>已</w:t>
            </w:r>
            <w:r>
              <w:rPr>
                <w:rFonts w:hint="eastAsia" w:ascii="仿宋_GB2312" w:eastAsia="仿宋_GB2312"/>
                <w:color w:val="000000"/>
                <w:sz w:val="24"/>
                <w:szCs w:val="24"/>
              </w:rPr>
              <w:t>完成</w:t>
            </w:r>
            <w:r>
              <w:rPr>
                <w:rFonts w:hint="eastAsia" w:ascii="仿宋_GB2312" w:eastAsia="仿宋_GB2312"/>
                <w:color w:val="000000"/>
                <w:sz w:val="24"/>
                <w:szCs w:val="24"/>
                <w:lang w:val="en-US" w:eastAsia="zh-CN"/>
              </w:rPr>
              <w:t>前期工作</w:t>
            </w:r>
            <w:r>
              <w:rPr>
                <w:rFonts w:hint="eastAsia" w:ascii="仿宋_GB2312" w:eastAsia="仿宋_GB2312"/>
                <w:color w:val="000000"/>
                <w:sz w:val="24"/>
                <w:szCs w:val="24"/>
              </w:rPr>
              <w:t>，力争</w:t>
            </w:r>
            <w:r>
              <w:rPr>
                <w:rFonts w:hint="eastAsia" w:ascii="仿宋_GB2312" w:eastAsia="仿宋_GB2312"/>
                <w:color w:val="000000"/>
                <w:sz w:val="24"/>
                <w:szCs w:val="24"/>
                <w:lang w:val="en-US" w:eastAsia="zh-CN"/>
              </w:rPr>
              <w:t>农历年前进入施工</w:t>
            </w:r>
            <w:r>
              <w:rPr>
                <w:rFonts w:hint="eastAsia" w:ascii="仿宋_GB2312" w:eastAsia="仿宋_GB2312"/>
                <w:color w:val="000000"/>
                <w:sz w:val="24"/>
                <w:szCs w:val="24"/>
              </w:rPr>
              <w:t>；团湖水环境整治工程已完成实施方案、初步设计等相关前期工作，目前正在启动环评及概算评审工作，</w:t>
            </w:r>
            <w:r>
              <w:rPr>
                <w:rFonts w:hint="eastAsia" w:ascii="仿宋_GB2312" w:eastAsia="仿宋_GB2312"/>
                <w:color w:val="000000"/>
                <w:sz w:val="24"/>
                <w:szCs w:val="24"/>
                <w:lang w:val="en-US" w:eastAsia="zh-CN"/>
              </w:rPr>
              <w:t>本月</w:t>
            </w:r>
            <w:r>
              <w:rPr>
                <w:rFonts w:hint="eastAsia" w:ascii="仿宋_GB2312" w:eastAsia="仿宋_GB2312"/>
                <w:color w:val="000000"/>
                <w:sz w:val="24"/>
                <w:szCs w:val="24"/>
              </w:rPr>
              <w:t>启动</w:t>
            </w:r>
            <w:r>
              <w:rPr>
                <w:rFonts w:hint="eastAsia" w:ascii="仿宋_GB2312" w:eastAsia="仿宋_GB2312"/>
                <w:color w:val="000000"/>
                <w:sz w:val="24"/>
                <w:szCs w:val="24"/>
                <w:lang w:val="en-US" w:eastAsia="zh-CN"/>
              </w:rPr>
              <w:t>施工</w:t>
            </w:r>
            <w:r>
              <w:rPr>
                <w:rFonts w:hint="eastAsia" w:ascii="仿宋_GB2312" w:eastAsia="仿宋_GB2312"/>
                <w:color w:val="000000"/>
                <w:sz w:val="24"/>
                <w:szCs w:val="24"/>
              </w:rPr>
              <w:t>；三角坪化工污染场地修复项目已完成</w:t>
            </w:r>
            <w:r>
              <w:rPr>
                <w:rFonts w:hint="eastAsia" w:ascii="仿宋_GB2312" w:eastAsia="仿宋_GB2312"/>
                <w:color w:val="000000"/>
                <w:sz w:val="24"/>
                <w:szCs w:val="24"/>
                <w:lang w:val="en-US" w:eastAsia="zh-CN"/>
              </w:rPr>
              <w:t>施工并销号</w:t>
            </w:r>
            <w:r>
              <w:rPr>
                <w:rFonts w:hint="eastAsia" w:ascii="仿宋_GB2312" w:eastAsia="仿宋_GB2312"/>
                <w:color w:val="000000"/>
                <w:sz w:val="24"/>
                <w:szCs w:val="24"/>
              </w:rPr>
              <w:t>；2021年度洗马小区等16个老旧小区改造项目点多面广，各个小区分段全面启动施工，目前已完成总建设进度40%，预计</w:t>
            </w:r>
            <w:r>
              <w:rPr>
                <w:rFonts w:hint="eastAsia" w:ascii="仿宋_GB2312" w:eastAsia="仿宋_GB2312"/>
                <w:color w:val="000000"/>
                <w:sz w:val="24"/>
                <w:szCs w:val="24"/>
                <w:lang w:val="en-US" w:eastAsia="zh-CN"/>
              </w:rPr>
              <w:t>明</w:t>
            </w:r>
            <w:r>
              <w:rPr>
                <w:rFonts w:hint="eastAsia" w:ascii="仿宋_GB2312" w:eastAsia="仿宋_GB2312"/>
                <w:color w:val="000000"/>
                <w:sz w:val="24"/>
                <w:szCs w:val="24"/>
              </w:rPr>
              <w:t>年3月底完成项目建设</w:t>
            </w:r>
            <w:r>
              <w:rPr>
                <w:rFonts w:hint="eastAsia" w:ascii="仿宋_GB2312" w:eastAsia="仿宋_GB2312"/>
                <w:color w:val="000000"/>
                <w:sz w:val="24"/>
                <w:szCs w:val="24"/>
                <w:lang w:eastAsia="zh-CN"/>
              </w:rPr>
              <w:t>；</w:t>
            </w:r>
            <w:r>
              <w:rPr>
                <w:rFonts w:hint="eastAsia" w:ascii="仿宋_GB2312" w:eastAsia="仿宋_GB2312"/>
                <w:color w:val="000000"/>
                <w:sz w:val="24"/>
                <w:szCs w:val="24"/>
              </w:rPr>
              <w:t>长江河道采砂项目</w:t>
            </w:r>
            <w:r>
              <w:rPr>
                <w:rFonts w:hint="eastAsia" w:ascii="仿宋_GB2312" w:eastAsia="仿宋_GB2312"/>
                <w:color w:val="000000"/>
                <w:spacing w:val="-6"/>
                <w:sz w:val="24"/>
                <w:szCs w:val="24"/>
              </w:rPr>
              <w:t>拿到了“十四五”规划采砂的门票，</w:t>
            </w:r>
            <w:r>
              <w:rPr>
                <w:rFonts w:hint="eastAsia" w:ascii="仿宋_GB2312" w:eastAsia="仿宋_GB2312"/>
                <w:color w:val="000000"/>
                <w:spacing w:val="-6"/>
                <w:sz w:val="24"/>
                <w:szCs w:val="24"/>
                <w:lang w:val="en-US" w:eastAsia="zh-CN"/>
              </w:rPr>
              <w:t>年度批准开采量80万吨，</w:t>
            </w:r>
            <w:r>
              <w:rPr>
                <w:rFonts w:hint="eastAsia" w:ascii="仿宋_GB2312" w:eastAsia="仿宋_GB2312"/>
                <w:color w:val="000000"/>
                <w:spacing w:val="-6"/>
                <w:sz w:val="24"/>
                <w:szCs w:val="24"/>
              </w:rPr>
              <w:t>目前</w:t>
            </w:r>
            <w:r>
              <w:rPr>
                <w:rFonts w:ascii="仿宋_GB2312" w:eastAsia="仿宋_GB2312"/>
                <w:color w:val="000000"/>
                <w:spacing w:val="-6"/>
                <w:sz w:val="24"/>
                <w:szCs w:val="24"/>
              </w:rPr>
              <w:t>已完成地勘、可研和</w:t>
            </w:r>
            <w:r>
              <w:rPr>
                <w:rFonts w:hint="eastAsia" w:ascii="仿宋_GB2312" w:eastAsia="仿宋_GB2312"/>
                <w:color w:val="000000"/>
                <w:spacing w:val="-6"/>
                <w:sz w:val="24"/>
                <w:szCs w:val="24"/>
                <w:lang w:val="en-US" w:eastAsia="zh-CN"/>
              </w:rPr>
              <w:t>航标配布方案</w:t>
            </w:r>
            <w:r>
              <w:rPr>
                <w:rFonts w:ascii="仿宋_GB2312" w:eastAsia="仿宋_GB2312"/>
                <w:color w:val="000000"/>
                <w:spacing w:val="-6"/>
                <w:sz w:val="24"/>
                <w:szCs w:val="24"/>
                <w:lang w:val="en-US" w:eastAsia="zh-CN"/>
              </w:rPr>
              <w:t>等前期工作</w:t>
            </w:r>
            <w:r>
              <w:rPr>
                <w:rFonts w:hint="eastAsia" w:ascii="仿宋_GB2312" w:eastAsia="仿宋_GB2312"/>
                <w:color w:val="000000"/>
                <w:spacing w:val="-6"/>
                <w:sz w:val="24"/>
                <w:szCs w:val="24"/>
              </w:rPr>
              <w:t>。</w:t>
            </w:r>
          </w:p>
          <w:p>
            <w:pPr>
              <w:pStyle w:val="12"/>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存在的问题及原因分析</w:t>
            </w:r>
          </w:p>
          <w:p>
            <w:pPr>
              <w:numPr>
                <w:ilvl w:val="0"/>
                <w:numId w:val="4"/>
              </w:numPr>
              <w:spacing w:line="400" w:lineRule="exact"/>
              <w:ind w:firstLine="480" w:firstLineChars="200"/>
              <w:rPr>
                <w:rFonts w:hint="eastAsia" w:ascii="仿宋" w:hAnsi="仿宋" w:eastAsia="仿宋" w:cs="宋体"/>
                <w:kern w:val="0"/>
                <w:sz w:val="24"/>
                <w:lang w:eastAsia="zh-CN"/>
              </w:rPr>
            </w:pPr>
            <w:r>
              <w:rPr>
                <w:rFonts w:hint="eastAsia" w:ascii="仿宋" w:hAnsi="仿宋" w:eastAsia="仿宋" w:cs="宋体"/>
                <w:kern w:val="0"/>
                <w:sz w:val="24"/>
              </w:rPr>
              <w:t>预算编制有待更完整、科学</w:t>
            </w:r>
            <w:r>
              <w:rPr>
                <w:rFonts w:hint="eastAsia" w:ascii="仿宋" w:hAnsi="仿宋" w:eastAsia="仿宋" w:cs="宋体"/>
                <w:kern w:val="0"/>
                <w:sz w:val="24"/>
                <w:lang w:eastAsia="zh-CN"/>
              </w:rPr>
              <w:t>，</w:t>
            </w:r>
            <w:r>
              <w:rPr>
                <w:rFonts w:hint="eastAsia" w:ascii="仿宋" w:hAnsi="仿宋" w:eastAsia="仿宋" w:cs="宋体"/>
                <w:kern w:val="0"/>
                <w:sz w:val="24"/>
              </w:rPr>
              <w:t>支出预算与实际支出项目有的存在差异</w:t>
            </w:r>
            <w:r>
              <w:rPr>
                <w:rFonts w:hint="eastAsia" w:ascii="仿宋" w:hAnsi="仿宋" w:eastAsia="仿宋" w:cs="宋体"/>
                <w:kern w:val="0"/>
                <w:sz w:val="24"/>
                <w:lang w:eastAsia="zh-CN"/>
              </w:rPr>
              <w:t>，在预算执</w:t>
            </w:r>
          </w:p>
          <w:p>
            <w:pPr>
              <w:numPr>
                <w:ilvl w:val="0"/>
                <w:numId w:val="0"/>
              </w:numPr>
              <w:spacing w:line="400" w:lineRule="exact"/>
              <w:rPr>
                <w:rFonts w:hint="eastAsia" w:ascii="仿宋" w:hAnsi="仿宋" w:eastAsia="仿宋" w:cs="宋体"/>
                <w:kern w:val="0"/>
                <w:sz w:val="24"/>
                <w:lang w:eastAsia="zh-CN"/>
              </w:rPr>
            </w:pPr>
            <w:r>
              <w:rPr>
                <w:rFonts w:hint="eastAsia" w:ascii="仿宋" w:hAnsi="仿宋" w:eastAsia="仿宋" w:cs="宋体"/>
                <w:kern w:val="0"/>
                <w:sz w:val="24"/>
                <w:lang w:eastAsia="zh-CN"/>
              </w:rPr>
              <w:t>行过程中，全年预算执行与预算编制存在一定差异。</w:t>
            </w:r>
          </w:p>
          <w:p>
            <w:pPr>
              <w:spacing w:line="400" w:lineRule="exact"/>
              <w:ind w:firstLine="480" w:firstLineChars="200"/>
              <w:rPr>
                <w:rFonts w:hint="eastAsia" w:ascii="宋体" w:hAnsi="宋体" w:eastAsia="宋体" w:cs="宋体"/>
                <w:sz w:val="24"/>
                <w:szCs w:val="24"/>
              </w:rPr>
            </w:pPr>
            <w:r>
              <w:rPr>
                <w:rFonts w:hint="eastAsia" w:ascii="仿宋" w:hAnsi="仿宋" w:eastAsia="仿宋" w:cs="宋体"/>
                <w:kern w:val="0"/>
                <w:sz w:val="24"/>
              </w:rPr>
              <w:t>2、国有资产管理有待更严格执行。未设立完整的固定资产台账。</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八、下一步改进措施</w:t>
            </w:r>
          </w:p>
          <w:p>
            <w:pPr>
              <w:spacing w:line="400" w:lineRule="exact"/>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rPr>
              <w:t>1、细化预算编制工作，认真做好预算的编制。要进一步加强预算管理意识，严格按照预算编制的相关制度和要求，公用经费根据单位的年度工作重点和项目专项工作规划</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 xml:space="preserve">   </w:t>
            </w:r>
          </w:p>
          <w:p>
            <w:pPr>
              <w:spacing w:line="4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2、完善资产管理制度，设立固定资产台账，定期对固定资产清查盘点。</w:t>
            </w:r>
          </w:p>
          <w:p>
            <w:pPr>
              <w:spacing w:line="4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3、加强财务管理，严格财务审核，经费支出严格按预算规定项目的财务支出内容进行财务核算，在预算金额内严格控制费用的支出。</w:t>
            </w:r>
          </w:p>
          <w:p>
            <w:pPr>
              <w:spacing w:line="400" w:lineRule="exact"/>
              <w:ind w:firstLine="480" w:firstLineChars="200"/>
              <w:rPr>
                <w:rFonts w:hint="eastAsia"/>
              </w:rPr>
            </w:pPr>
            <w:r>
              <w:rPr>
                <w:rFonts w:hint="eastAsia" w:ascii="仿宋" w:hAnsi="仿宋" w:eastAsia="仿宋" w:cs="宋体"/>
                <w:kern w:val="0"/>
                <w:sz w:val="24"/>
              </w:rPr>
              <w:t>4、增强资金支出责任意识和绩效观念，提高财政资金的使用效益，与预算资金安排相结合，在预算额度内促进财政资金的合理分配与有效使用。另外，要加强资金的管理，注重支出的经济性、效益性，充分利用绩效评价结果，将结果作为改进预算管理和安排以后年度预算的重要依据。</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黑体" w:hAnsi="黑体" w:eastAsia="黑体" w:cs="黑体"/>
                <w:bCs/>
                <w:sz w:val="28"/>
                <w:szCs w:val="28"/>
                <w:lang w:val="en-US" w:eastAsia="zh-CN"/>
              </w:rPr>
            </w:pPr>
            <w:r>
              <w:rPr>
                <w:rFonts w:hint="eastAsia" w:ascii="黑体" w:hAnsi="黑体" w:eastAsia="黑体" w:cs="黑体"/>
                <w:sz w:val="24"/>
                <w:szCs w:val="24"/>
              </w:rPr>
              <w:t>九、其他需要说明的情况</w:t>
            </w:r>
            <w:r>
              <w:rPr>
                <w:rFonts w:hint="eastAsia" w:ascii="黑体" w:hAnsi="黑体" w:eastAsia="黑体" w:cs="黑体"/>
                <w:sz w:val="24"/>
                <w:szCs w:val="24"/>
                <w:lang w:eastAsia="zh-CN"/>
              </w:rPr>
              <w:t>：无</w:t>
            </w:r>
          </w:p>
        </w:tc>
      </w:tr>
    </w:tbl>
    <w:p>
      <w:pPr>
        <w:spacing w:line="348" w:lineRule="auto"/>
        <w:rPr>
          <w:rFonts w:eastAsia="楷体_GB2312"/>
          <w:bCs/>
          <w:sz w:val="28"/>
          <w:szCs w:val="28"/>
        </w:rPr>
      </w:pPr>
    </w:p>
    <w:p>
      <w:pPr>
        <w:rPr>
          <w:rFonts w:hint="eastAsia" w:ascii="黑体" w:hAnsi="黑体" w:eastAsia="黑体"/>
          <w:sz w:val="32"/>
          <w:szCs w:val="32"/>
        </w:rPr>
      </w:pPr>
      <w:r>
        <w:rPr>
          <w:rFonts w:eastAsia="楷体_GB2312"/>
          <w:bCs/>
          <w:sz w:val="28"/>
          <w:szCs w:val="28"/>
        </w:rPr>
        <w:br w:type="page"/>
      </w: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-1：</w:t>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w:t>
            </w:r>
            <w:r>
              <w:rPr>
                <w:rFonts w:hint="eastAsia" w:ascii="仿宋_GB2312" w:hAnsi="宋体" w:eastAsia="仿宋_GB2312" w:cs="宋体"/>
                <w:kern w:val="0"/>
                <w:sz w:val="18"/>
                <w:szCs w:val="18"/>
                <w:lang w:eastAsia="zh-CN"/>
              </w:rPr>
              <w:t>做好</w:t>
            </w:r>
            <w:r>
              <w:rPr>
                <w:rFonts w:hint="eastAsia" w:ascii="仿宋_GB2312" w:hAnsi="宋体" w:eastAsia="仿宋_GB2312" w:cs="宋体"/>
                <w:kern w:val="0"/>
                <w:sz w:val="18"/>
                <w:szCs w:val="18"/>
              </w:rPr>
              <w:t>岳阳市云溪区</w:t>
            </w:r>
            <w:r>
              <w:rPr>
                <w:rFonts w:hint="eastAsia" w:ascii="仿宋_GB2312" w:hAnsi="宋体" w:eastAsia="仿宋_GB2312" w:cs="宋体"/>
                <w:kern w:val="0"/>
                <w:sz w:val="18"/>
                <w:szCs w:val="18"/>
                <w:lang w:val="en-US" w:eastAsia="zh-CN"/>
              </w:rPr>
              <w:t>2020</w:t>
            </w:r>
            <w:r>
              <w:rPr>
                <w:rFonts w:hint="eastAsia" w:ascii="仿宋_GB2312" w:hAnsi="宋体" w:eastAsia="仿宋_GB2312" w:cs="宋体"/>
                <w:kern w:val="0"/>
                <w:sz w:val="18"/>
                <w:szCs w:val="18"/>
              </w:rPr>
              <w:t>年度综合绩效考核工作的通知》（岳云发〔</w:t>
            </w:r>
            <w:r>
              <w:rPr>
                <w:rFonts w:hint="eastAsia" w:ascii="仿宋_GB2312" w:hAnsi="宋体" w:eastAsia="仿宋_GB2312" w:cs="宋体"/>
                <w:kern w:val="0"/>
                <w:sz w:val="18"/>
                <w:szCs w:val="18"/>
                <w:lang w:val="en-US" w:eastAsia="zh-CN"/>
              </w:rPr>
              <w:t>2020</w:t>
            </w: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号）考核内容设置。</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部门单位应根据部门实际进行调整，并将其细化成相应的个性化指标</w:t>
            </w:r>
          </w:p>
          <w:p>
            <w:pPr>
              <w:pStyle w:val="2"/>
              <w:rPr>
                <w:rFonts w:hint="eastAsia"/>
                <w:lang w:eastAsia="zh-CN"/>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200" w:lineRule="exact"/>
        <w:contextualSpacing/>
        <w:jc w:val="right"/>
        <w:rPr>
          <w:rFonts w:hint="eastAsia" w:eastAsia="仿宋_GB2312"/>
          <w:sz w:val="32"/>
        </w:rPr>
      </w:pPr>
    </w:p>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2</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37</w:t>
    </w:r>
    <w:r>
      <w:rPr>
        <w:sz w:val="24"/>
        <w:szCs w:val="24"/>
      </w:rPr>
      <w:fldChar w:fldCharType="end"/>
    </w:r>
    <w:r>
      <w:rPr>
        <w:rStyle w:val="10"/>
        <w:rFonts w:hint="eastAsia"/>
        <w:sz w:val="24"/>
        <w:szCs w:val="24"/>
      </w:rPr>
      <w:t xml:space="preserve"> —</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34</w: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05EA"/>
    <w:multiLevelType w:val="singleLevel"/>
    <w:tmpl w:val="AF3F05EA"/>
    <w:lvl w:ilvl="0" w:tentative="0">
      <w:start w:val="2"/>
      <w:numFmt w:val="chineseCounting"/>
      <w:suff w:val="nothing"/>
      <w:lvlText w:val="%1、"/>
      <w:lvlJc w:val="left"/>
      <w:rPr>
        <w:rFonts w:hint="eastAsia"/>
      </w:rPr>
    </w:lvl>
  </w:abstractNum>
  <w:abstractNum w:abstractNumId="1">
    <w:nsid w:val="B38E6783"/>
    <w:multiLevelType w:val="singleLevel"/>
    <w:tmpl w:val="B38E6783"/>
    <w:lvl w:ilvl="0" w:tentative="0">
      <w:start w:val="7"/>
      <w:numFmt w:val="chineseCounting"/>
      <w:suff w:val="nothing"/>
      <w:lvlText w:val="%1、"/>
      <w:lvlJc w:val="left"/>
      <w:rPr>
        <w:rFonts w:hint="eastAsia"/>
      </w:rPr>
    </w:lvl>
  </w:abstractNum>
  <w:abstractNum w:abstractNumId="2">
    <w:nsid w:val="01BBB8E7"/>
    <w:multiLevelType w:val="singleLevel"/>
    <w:tmpl w:val="01BBB8E7"/>
    <w:lvl w:ilvl="0" w:tentative="0">
      <w:start w:val="1"/>
      <w:numFmt w:val="decimal"/>
      <w:suff w:val="nothing"/>
      <w:lvlText w:val="%1、"/>
      <w:lvlJc w:val="left"/>
    </w:lvl>
  </w:abstractNum>
  <w:abstractNum w:abstractNumId="3">
    <w:nsid w:val="76326CFE"/>
    <w:multiLevelType w:val="singleLevel"/>
    <w:tmpl w:val="76326CFE"/>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WZjZThiMTc3ZjJiYjg1ZmRjYmFkNTY3MjA3MTUifQ=="/>
  </w:docVars>
  <w:rsids>
    <w:rsidRoot w:val="4F240BE3"/>
    <w:rsid w:val="02E3341B"/>
    <w:rsid w:val="05D42C99"/>
    <w:rsid w:val="069F3BC7"/>
    <w:rsid w:val="07F405FC"/>
    <w:rsid w:val="08D0637C"/>
    <w:rsid w:val="0F4636F1"/>
    <w:rsid w:val="11B4046A"/>
    <w:rsid w:val="12765038"/>
    <w:rsid w:val="18095344"/>
    <w:rsid w:val="181A5BD5"/>
    <w:rsid w:val="189575CF"/>
    <w:rsid w:val="23656398"/>
    <w:rsid w:val="244C2C1E"/>
    <w:rsid w:val="2AEC6584"/>
    <w:rsid w:val="2FB57C9C"/>
    <w:rsid w:val="3049437B"/>
    <w:rsid w:val="30AA341D"/>
    <w:rsid w:val="3134116F"/>
    <w:rsid w:val="38220BC0"/>
    <w:rsid w:val="38DA26AE"/>
    <w:rsid w:val="3A172AA5"/>
    <w:rsid w:val="3A515735"/>
    <w:rsid w:val="3BDD4086"/>
    <w:rsid w:val="3C4C471E"/>
    <w:rsid w:val="3DD015E9"/>
    <w:rsid w:val="46452289"/>
    <w:rsid w:val="479E1B48"/>
    <w:rsid w:val="4BCB1D03"/>
    <w:rsid w:val="4C6D441A"/>
    <w:rsid w:val="4F240BE3"/>
    <w:rsid w:val="4F9F43BE"/>
    <w:rsid w:val="51657A52"/>
    <w:rsid w:val="56483348"/>
    <w:rsid w:val="59A943D7"/>
    <w:rsid w:val="60C465E3"/>
    <w:rsid w:val="60FF4A66"/>
    <w:rsid w:val="63057CB3"/>
    <w:rsid w:val="63F43D7F"/>
    <w:rsid w:val="641E3809"/>
    <w:rsid w:val="673F2A8F"/>
    <w:rsid w:val="693E243C"/>
    <w:rsid w:val="6C741A31"/>
    <w:rsid w:val="6CDC38C9"/>
    <w:rsid w:val="6D8461BD"/>
    <w:rsid w:val="6D8D6F2C"/>
    <w:rsid w:val="720A0C12"/>
    <w:rsid w:val="72473A1C"/>
    <w:rsid w:val="73B9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unhideWhenUsed/>
    <w:qFormat/>
    <w:uiPriority w:val="0"/>
    <w:pPr>
      <w:spacing w:before="100" w:beforeAutospacing="1" w:after="0"/>
      <w:ind w:left="0" w:firstLine="420" w:firstLineChars="200"/>
    </w:pPr>
    <w:rPr>
      <w:rFonts w:hint="eastAsia" w:ascii="Calibri" w:hAnsi="Calibri"/>
      <w:sz w:val="21"/>
    </w:rPr>
  </w:style>
  <w:style w:type="paragraph" w:customStyle="1" w:styleId="3">
    <w:name w:val="BodyTextIndent"/>
    <w:basedOn w:val="1"/>
    <w:unhideWhenUsed/>
    <w:qFormat/>
    <w:uiPriority w:val="0"/>
    <w:pPr>
      <w:spacing w:after="120"/>
      <w:ind w:left="420" w:leftChars="200"/>
    </w:pPr>
    <w:rPr>
      <w:rFonts w:hint="eastAsia"/>
      <w:sz w:val="21"/>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afterLines="0"/>
    </w:p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qFormat/>
    <w:uiPriority w:val="0"/>
  </w:style>
  <w:style w:type="character" w:styleId="11">
    <w:name w:val="Hyperlink"/>
    <w:basedOn w:val="9"/>
    <w:unhideWhenUsed/>
    <w:qFormat/>
    <w:uiPriority w:val="0"/>
    <w:rPr>
      <w:color w:val="0000FF"/>
      <w:u w:val="single"/>
    </w:rPr>
  </w:style>
  <w:style w:type="paragraph" w:styleId="12">
    <w:name w:val="List Paragraph"/>
    <w:basedOn w:val="1"/>
    <w:qFormat/>
    <w:uiPriority w:val="99"/>
    <w:pPr>
      <w:ind w:firstLine="420" w:firstLineChars="200"/>
    </w:pPr>
    <w:rPr>
      <w:rFonts w:ascii="Calibri" w:hAnsi="Calibri" w:eastAsia="宋体" w:cs="Times New Roman"/>
      <w:szCs w:val="22"/>
    </w:rPr>
  </w:style>
  <w:style w:type="paragraph" w:customStyle="1" w:styleId="13">
    <w:name w:val="样式1"/>
    <w:basedOn w:val="1"/>
    <w:qFormat/>
    <w:uiPriority w:val="0"/>
    <w:pPr>
      <w:spacing w:line="560" w:lineRule="exact"/>
      <w:ind w:firstLine="480" w:firstLineChars="200"/>
    </w:pPr>
    <w:rPr>
      <w:rFonts w:ascii="宋体" w:hAnsi="宋体" w:eastAsia="黑体"/>
      <w:color w:val="000000"/>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5981</Words>
  <Characters>6390</Characters>
  <Lines>0</Lines>
  <Paragraphs>0</Paragraphs>
  <TotalTime>298</TotalTime>
  <ScaleCrop>false</ScaleCrop>
  <LinksUpToDate>false</LinksUpToDate>
  <CharactersWithSpaces>6948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2021-07-14T02:03:00Z</dcterms:created>
  <dc:creator>Administrator</dc:creator>
  <cp:lastModifiedBy>Administrator</cp:lastModifiedBy>
  <cp:lastPrinted>2021-07-27T02:49:00Z</cp:lastPrinted>
  <dcterms:modified xsi:type="dcterms:W3CDTF">2022-07-12T02:19:05Z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7C0C55B146BD422FBA9961E665D4EA91</vt:lpwstr>
  </property>
</Properties>
</file>