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u w:val="single"/>
        </w:rPr>
        <w:t xml:space="preserve">岳阳市云溪区司法局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11</w:t>
      </w:r>
      <w:r>
        <w:rPr>
          <w:rFonts w:hint="eastAsia" w:eastAsia="仿宋_GB2312"/>
          <w:sz w:val="32"/>
        </w:rPr>
        <w:t xml:space="preserve">月 </w:t>
      </w:r>
      <w:r>
        <w:rPr>
          <w:rFonts w:hint="eastAsia" w:eastAsia="仿宋_GB2312"/>
          <w:sz w:val="32"/>
          <w:lang w:val="en-US" w:eastAsia="zh-CN"/>
        </w:rPr>
        <w:t>1</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联系人</w:t>
            </w:r>
          </w:p>
        </w:tc>
        <w:tc>
          <w:tcPr>
            <w:tcW w:w="3561" w:type="dxa"/>
            <w:gridSpan w:val="6"/>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杨柳</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联络电话</w:t>
            </w:r>
          </w:p>
        </w:tc>
        <w:tc>
          <w:tcPr>
            <w:tcW w:w="3106" w:type="dxa"/>
            <w:gridSpan w:val="8"/>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15675038955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人员编制</w:t>
            </w:r>
          </w:p>
        </w:tc>
        <w:tc>
          <w:tcPr>
            <w:tcW w:w="3561" w:type="dxa"/>
            <w:gridSpan w:val="6"/>
            <w:vAlign w:val="center"/>
          </w:tcPr>
          <w:p>
            <w:pPr>
              <w:autoSpaceDN w:val="0"/>
              <w:spacing w:line="320" w:lineRule="exact"/>
              <w:jc w:val="center"/>
              <w:textAlignment w:val="center"/>
              <w:rPr>
                <w:rFonts w:hint="eastAsia"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28</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实有人数</w:t>
            </w:r>
          </w:p>
        </w:tc>
        <w:tc>
          <w:tcPr>
            <w:tcW w:w="3106" w:type="dxa"/>
            <w:gridSpan w:val="8"/>
            <w:vAlign w:val="center"/>
          </w:tcPr>
          <w:p>
            <w:pPr>
              <w:autoSpaceDN w:val="0"/>
              <w:spacing w:line="320" w:lineRule="exact"/>
              <w:jc w:val="center"/>
              <w:textAlignment w:val="center"/>
              <w:rPr>
                <w:rFonts w:hint="eastAsia"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职能职责概述</w:t>
            </w:r>
          </w:p>
        </w:tc>
        <w:tc>
          <w:tcPr>
            <w:tcW w:w="8146" w:type="dxa"/>
            <w:gridSpan w:val="15"/>
            <w:vAlign w:val="center"/>
          </w:tcPr>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承担全面依法治区重大问题的政策研究；2.指导全区规范文件管理有关工作，承担政府规范文件的合法性审查工作；3.承担统筹推进法治政府建设工作；4.负责对政府合同订立工作进行监督和指导；5承担统筹规划全区法治社会建设工作；6.指导、管理社区矫正工作，指导刑满释放人员安置帮教工作；7.拟订公共法律服务体系建设规划并指导实施，指导、监督法律援助、司法鉴定和基层法律服务管理工作；8.规划、协调、指导法治人才队伍建设相关工作。9.完成区委、区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年度主要</w:t>
            </w:r>
          </w:p>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工作内容</w:t>
            </w:r>
          </w:p>
        </w:tc>
        <w:tc>
          <w:tcPr>
            <w:tcW w:w="8146" w:type="dxa"/>
            <w:gridSpan w:val="15"/>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任务1：“智慧矫正”建设方面：创新管理体制，着力推进队建制改革和“智慧”矫正建设工作</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任务2：落实“一村（社区）一法律顾问”制度，打通公共法律服务与基层群众间的“最后一公里”。</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任务3：落实刑满释放人员帮教措施，建好帮教档案。</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任务4: 公共法律服务全流程、全地域网上提供服务</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任务5：人民调解“第一道防线”作用进一步发挥，积极推进人民参与法治建设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pacing w:val="-6"/>
                <w:sz w:val="24"/>
              </w:rPr>
            </w:pPr>
            <w:r>
              <w:rPr>
                <w:rFonts w:hint="eastAsia" w:ascii="华文仿宋" w:hAnsi="华文仿宋" w:eastAsia="华文仿宋" w:cs="华文仿宋"/>
                <w:color w:val="000000"/>
                <w:spacing w:val="-6"/>
                <w:sz w:val="24"/>
              </w:rPr>
              <w:t>年度部门（单位）总体运行情况及取得的成绩</w:t>
            </w:r>
          </w:p>
        </w:tc>
        <w:tc>
          <w:tcPr>
            <w:tcW w:w="8146" w:type="dxa"/>
            <w:gridSpan w:val="15"/>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1.</w:t>
            </w:r>
            <w:r>
              <w:rPr>
                <w:rFonts w:hint="eastAsia" w:ascii="华文仿宋" w:hAnsi="华文仿宋" w:eastAsia="华文仿宋" w:cs="华文仿宋"/>
                <w:color w:val="000000"/>
                <w:sz w:val="24"/>
              </w:rPr>
              <w:t>法律援助工作方面：20</w:t>
            </w:r>
            <w:r>
              <w:rPr>
                <w:rFonts w:hint="eastAsia" w:ascii="华文仿宋" w:hAnsi="华文仿宋" w:eastAsia="华文仿宋" w:cs="华文仿宋"/>
                <w:color w:val="000000"/>
                <w:sz w:val="24"/>
                <w:lang w:val="en-US" w:eastAsia="zh-CN"/>
              </w:rPr>
              <w:t>20</w:t>
            </w:r>
            <w:r>
              <w:rPr>
                <w:rFonts w:hint="eastAsia" w:ascii="华文仿宋" w:hAnsi="华文仿宋" w:eastAsia="华文仿宋" w:cs="华文仿宋"/>
                <w:color w:val="000000"/>
                <w:sz w:val="24"/>
              </w:rPr>
              <w:t>年共接待法援咨询4</w:t>
            </w:r>
            <w:r>
              <w:rPr>
                <w:rFonts w:hint="eastAsia" w:ascii="华文仿宋" w:hAnsi="华文仿宋" w:eastAsia="华文仿宋" w:cs="华文仿宋"/>
                <w:color w:val="000000"/>
                <w:sz w:val="24"/>
                <w:lang w:val="en-US" w:eastAsia="zh-CN"/>
              </w:rPr>
              <w:t>45</w:t>
            </w:r>
            <w:r>
              <w:rPr>
                <w:rFonts w:hint="eastAsia" w:ascii="华文仿宋" w:hAnsi="华文仿宋" w:eastAsia="华文仿宋" w:cs="华文仿宋"/>
                <w:color w:val="000000"/>
                <w:sz w:val="24"/>
              </w:rPr>
              <w:t>人次，办理法律援助案件</w:t>
            </w:r>
            <w:r>
              <w:rPr>
                <w:rFonts w:hint="eastAsia" w:ascii="华文仿宋" w:hAnsi="华文仿宋" w:eastAsia="华文仿宋" w:cs="华文仿宋"/>
                <w:color w:val="000000"/>
                <w:sz w:val="24"/>
                <w:lang w:val="en-US" w:eastAsia="zh-CN"/>
              </w:rPr>
              <w:t>120</w:t>
            </w:r>
            <w:r>
              <w:rPr>
                <w:rFonts w:hint="eastAsia" w:ascii="华文仿宋" w:hAnsi="华文仿宋" w:eastAsia="华文仿宋" w:cs="华文仿宋"/>
                <w:color w:val="000000"/>
                <w:sz w:val="24"/>
              </w:rPr>
              <w:t>件。</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2.</w:t>
            </w:r>
            <w:r>
              <w:rPr>
                <w:rFonts w:hint="eastAsia" w:ascii="华文仿宋" w:hAnsi="华文仿宋" w:eastAsia="华文仿宋" w:cs="华文仿宋"/>
                <w:color w:val="000000"/>
                <w:sz w:val="24"/>
              </w:rPr>
              <w:t>“智慧矫正”建设方面：创新管理体制，着力推进队建制改革和“智慧”矫正建设工作。按照省市社区矫正“队建制”改革试点及“智慧矫正”建设工作要求，在社区矫正人员的管理上形成“五统一”的工作格局，提高司法公信力。</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3.安置帮教工作方面：20</w:t>
            </w:r>
            <w:r>
              <w:rPr>
                <w:rFonts w:hint="eastAsia" w:ascii="华文仿宋" w:hAnsi="华文仿宋" w:eastAsia="华文仿宋" w:cs="华文仿宋"/>
                <w:color w:val="000000"/>
                <w:sz w:val="24"/>
                <w:lang w:val="en-US" w:eastAsia="zh-CN"/>
              </w:rPr>
              <w:t>20</w:t>
            </w:r>
            <w:r>
              <w:rPr>
                <w:rFonts w:hint="eastAsia" w:ascii="华文仿宋" w:hAnsi="华文仿宋" w:eastAsia="华文仿宋" w:cs="华文仿宋"/>
                <w:color w:val="000000"/>
                <w:sz w:val="24"/>
              </w:rPr>
              <w:t>年我区共新接收刑释解矫人员</w:t>
            </w:r>
            <w:r>
              <w:rPr>
                <w:rFonts w:hint="eastAsia" w:ascii="华文仿宋" w:hAnsi="华文仿宋" w:eastAsia="华文仿宋" w:cs="华文仿宋"/>
                <w:color w:val="000000"/>
                <w:sz w:val="24"/>
                <w:lang w:val="en-US" w:eastAsia="zh-CN"/>
              </w:rPr>
              <w:t>70</w:t>
            </w:r>
            <w:r>
              <w:rPr>
                <w:rFonts w:hint="eastAsia" w:ascii="华文仿宋" w:hAnsi="华文仿宋" w:eastAsia="华文仿宋" w:cs="华文仿宋"/>
                <w:color w:val="000000"/>
                <w:sz w:val="24"/>
              </w:rPr>
              <w:t>人，全部已衔接，通过各种渠道都基本得了安置，安置率达99.8%。</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4.公共法律服务工作方面：公共法律服务全流程、全地域网上提供服务，坚持如法网线上咨询工作日亮灯，使群众足不出户即可进行法律咨询、申请法律援助。</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5.人民调解工作方面：人民调解“第一道防线”作用进一步发挥，积极推进人民参与法治建设，认真学习“枫桥经验”，做到“小事不出村、大事不出镇（街道）、矛盾不上交”。</w:t>
            </w:r>
          </w:p>
          <w:p>
            <w:pPr>
              <w:autoSpaceDN w:val="0"/>
              <w:spacing w:line="400" w:lineRule="exact"/>
              <w:jc w:val="left"/>
              <w:textAlignment w:val="center"/>
              <w:rPr>
                <w:rFonts w:hint="eastAsia" w:ascii="华文仿宋" w:hAnsi="华文仿宋" w:eastAsia="华文仿宋" w:cs="华文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663.05</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39.5</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623.55</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663.05</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39.5</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623.55</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663.05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663.05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411.81</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251.24</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663.05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663.05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411.81</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251.24</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3.85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2.35</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243.69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任务1：“智慧矫正”建设方面：创新管理体制，着力推进队建制改革和“智慧”矫正建设工作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任务2：落实“一村（社区）一法律顾问”制度，打通公共法律服务与基层群众间的“最后一公里”。</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任务3：落实刑满释放人员帮教措施，建好帮教档案。</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 公共法律服务全流程、全地域网上提供服务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任务5：人民调解“第一道防线”作用进一步发挥，积极推进人民参与法治建设</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为全区经济社会发展创造良好的法治环境</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开展法律宣传活动5次以上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 w:eastAsia="仿宋_GB2312" w:cs="仿宋_GB2312"/>
                <w:color w:val="000000"/>
                <w:sz w:val="24"/>
              </w:rPr>
              <w:t>调处各类矛盾纠纷500起以上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cs="仿宋_GB2312"/>
                <w:color w:val="000000"/>
                <w:sz w:val="24"/>
              </w:rPr>
              <w:t>指标3：办理法律援助案件100件以上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全年抓排查、重调处</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Merge w:val="restart"/>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投入司法行政工作专项资金100万元以上</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排除调处矛盾纠纷，维护社会和谐稳定</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办理相关法律援助案件，</w:t>
            </w:r>
            <w:r>
              <w:rPr>
                <w:rFonts w:hint="eastAsia" w:ascii="仿宋_GB2312" w:hAnsi="仿宋_GB2312" w:eastAsia="仿宋_GB2312" w:cs="仿宋_GB2312"/>
                <w:color w:val="000000"/>
                <w:sz w:val="24"/>
              </w:rPr>
              <w:t>确保人民群众生命财产安全，减少经济损失</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陈勇</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张艾</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出纳</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杨柳</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6"/>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仿宋_GB2312" w:hAnsi="Calibri" w:eastAsia="仿宋_GB2312"/>
                <w:sz w:val="30"/>
                <w:szCs w:val="30"/>
              </w:rPr>
            </w:pPr>
            <w:r>
              <w:rPr>
                <w:rFonts w:hint="eastAsia" w:ascii="仿宋_GB2312" w:hAnsi="Calibri" w:eastAsia="仿宋_GB2312"/>
                <w:sz w:val="30"/>
                <w:szCs w:val="30"/>
              </w:rPr>
              <w:t>一、整体支出概况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20</w:t>
            </w:r>
            <w:r>
              <w:rPr>
                <w:rFonts w:hint="eastAsia" w:ascii="仿宋_GB2312" w:hAnsi="仿宋" w:eastAsia="仿宋_GB2312"/>
                <w:sz w:val="30"/>
                <w:szCs w:val="30"/>
                <w:lang w:val="en-US" w:eastAsia="zh-CN"/>
              </w:rPr>
              <w:t>20</w:t>
            </w:r>
            <w:r>
              <w:rPr>
                <w:rFonts w:hint="eastAsia" w:ascii="仿宋_GB2312" w:hAnsi="仿宋" w:eastAsia="仿宋_GB2312"/>
                <w:sz w:val="30"/>
                <w:szCs w:val="30"/>
              </w:rPr>
              <w:t>年，总收入663.05万元，其中财政拨款663.05万元，上年结转</w:t>
            </w:r>
            <w:r>
              <w:rPr>
                <w:rFonts w:hint="eastAsia" w:ascii="仿宋_GB2312" w:hAnsi="仿宋" w:eastAsia="仿宋_GB2312"/>
                <w:sz w:val="30"/>
                <w:szCs w:val="30"/>
                <w:lang w:val="en-US" w:eastAsia="zh-CN"/>
              </w:rPr>
              <w:t>39.5</w:t>
            </w:r>
            <w:r>
              <w:rPr>
                <w:rFonts w:hint="eastAsia" w:ascii="仿宋_GB2312" w:hAnsi="仿宋" w:eastAsia="仿宋_GB2312"/>
                <w:sz w:val="30"/>
                <w:szCs w:val="30"/>
              </w:rPr>
              <w:t>万元。总支出663.05万元，基本支出</w:t>
            </w:r>
            <w:r>
              <w:rPr>
                <w:rFonts w:hint="eastAsia" w:ascii="仿宋_GB2312" w:hAnsi="仿宋" w:eastAsia="仿宋_GB2312"/>
                <w:sz w:val="30"/>
                <w:szCs w:val="30"/>
                <w:lang w:val="en-US" w:eastAsia="zh-CN"/>
              </w:rPr>
              <w:t>663.05</w:t>
            </w:r>
            <w:r>
              <w:rPr>
                <w:rFonts w:hint="eastAsia" w:ascii="仿宋_GB2312" w:hAnsi="仿宋" w:eastAsia="仿宋_GB2312"/>
                <w:sz w:val="30"/>
                <w:szCs w:val="30"/>
              </w:rPr>
              <w:t>万元，其中人员支出</w:t>
            </w:r>
            <w:r>
              <w:rPr>
                <w:rFonts w:hint="eastAsia" w:ascii="仿宋_GB2312" w:hAnsi="仿宋" w:eastAsia="仿宋_GB2312"/>
                <w:sz w:val="30"/>
                <w:szCs w:val="30"/>
                <w:lang w:val="en-US" w:eastAsia="zh-CN"/>
              </w:rPr>
              <w:t>411.81</w:t>
            </w:r>
            <w:r>
              <w:rPr>
                <w:rFonts w:hint="eastAsia" w:ascii="仿宋_GB2312" w:hAnsi="仿宋" w:eastAsia="仿宋_GB2312"/>
                <w:sz w:val="30"/>
                <w:szCs w:val="30"/>
              </w:rPr>
              <w:t>万，公用支出251.24万元</w:t>
            </w:r>
            <w:bookmarkStart w:id="0" w:name="_GoBack"/>
            <w:bookmarkEnd w:id="0"/>
            <w:r>
              <w:rPr>
                <w:rFonts w:hint="eastAsia" w:ascii="仿宋_GB2312" w:hAnsi="仿宋" w:eastAsia="仿宋_GB2312"/>
                <w:sz w:val="30"/>
                <w:szCs w:val="30"/>
              </w:rPr>
              <w:t>。</w:t>
            </w:r>
          </w:p>
          <w:p>
            <w:pPr>
              <w:rPr>
                <w:rFonts w:hint="eastAsia" w:ascii="仿宋_GB2312" w:hAnsi="仿宋" w:eastAsia="仿宋_GB2312"/>
                <w:bCs/>
                <w:sz w:val="30"/>
                <w:szCs w:val="30"/>
              </w:rPr>
            </w:pPr>
            <w:r>
              <w:rPr>
                <w:rFonts w:hint="eastAsia" w:ascii="仿宋_GB2312" w:hAnsi="仿宋" w:eastAsia="仿宋_GB2312"/>
                <w:bCs/>
                <w:sz w:val="30"/>
                <w:szCs w:val="30"/>
              </w:rPr>
              <w:t>二、资金使用及管理情况</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资金使用和管理严格按照局机关年初制定的各项规章制度，严格一支笔审批，所有报销凭证，必须有经办人、办公室主任和审批人签字后方可报销。一次性开支50000元以上的需经局班子成员会议集体研究决定，否则不论何种情况，不能报销。</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为规范项目管理，确保项目质量，制定了项目管理制度，强化项目资金管理。严格做到“专账管理、专款专用”，项目资金由分管财务领导、项目负责人、纪检组长和局长会审后方可支付。</w:t>
            </w:r>
          </w:p>
          <w:p>
            <w:pPr>
              <w:rPr>
                <w:rFonts w:hint="eastAsia" w:ascii="黑体" w:hAnsi="Calibri" w:eastAsia="黑体"/>
                <w:sz w:val="30"/>
                <w:szCs w:val="30"/>
              </w:rPr>
            </w:pPr>
            <w:r>
              <w:rPr>
                <w:rFonts w:hint="eastAsia" w:ascii="黑体" w:hAnsi="Calibri" w:eastAsia="黑体"/>
                <w:sz w:val="30"/>
                <w:szCs w:val="30"/>
              </w:rPr>
              <w:t>三、组织实施情况</w:t>
            </w:r>
          </w:p>
          <w:p>
            <w:pPr>
              <w:ind w:firstLine="600" w:firstLineChars="200"/>
              <w:rPr>
                <w:rFonts w:eastAsia="楷体_GB2312"/>
                <w:bCs/>
                <w:sz w:val="28"/>
                <w:szCs w:val="28"/>
              </w:rPr>
            </w:pPr>
            <w:r>
              <w:rPr>
                <w:rFonts w:hint="eastAsia" w:ascii="仿宋_GB2312" w:hAnsi="Calibri" w:eastAsia="仿宋_GB2312"/>
                <w:sz w:val="30"/>
                <w:szCs w:val="30"/>
              </w:rPr>
              <w:t>我局修订了《云溪区司法局机关管理制度》，从财务管理制度、小车管理制度、公务接待制度、奖励制度等13个方面加以规范，以制度管人管事，由纪检组长负责日常的检查监督。</w:t>
            </w:r>
          </w:p>
        </w:tc>
      </w:tr>
    </w:tbl>
    <w:p>
      <w:pPr>
        <w:spacing w:line="120" w:lineRule="auto"/>
        <w:jc w:val="both"/>
        <w:rPr>
          <w:rFonts w:hint="eastAsia" w:ascii="方正小标宋简体" w:eastAsia="方正小标宋简体"/>
          <w:sz w:val="38"/>
          <w:szCs w:val="38"/>
        </w:rPr>
      </w:pPr>
      <w:r>
        <w:rPr>
          <w:rFonts w:eastAsia="楷体_GB2312"/>
          <w:bCs/>
          <w:sz w:val="28"/>
          <w:szCs w:val="28"/>
        </w:rPr>
        <w:br w:type="page"/>
      </w:r>
      <w:r>
        <w:rPr>
          <w:rFonts w:hint="eastAsia" w:ascii="方正小标宋简体" w:eastAsia="方正小标宋简体"/>
          <w:sz w:val="38"/>
          <w:szCs w:val="38"/>
        </w:rPr>
        <w:t>部门整体支出绩效评价评分表（参考样表）</w:t>
      </w:r>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在职人员控制率为118%该扣分1.80分</w:t>
            </w: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有资金结余</w:t>
            </w:r>
          </w:p>
        </w:tc>
      </w:tr>
      <w:tr>
        <w:tblPrEx>
          <w:tblLayout w:type="fixed"/>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65" w:hRule="atLeast"/>
          <w:jc w:val="center"/>
        </w:trPr>
        <w:tc>
          <w:tcPr>
            <w:tcW w:w="9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存在闲置资产</w:t>
            </w: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PingFang SC">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94EFE"/>
    <w:rsid w:val="0EC94EFE"/>
    <w:rsid w:val="1A2079F3"/>
    <w:rsid w:val="233556A1"/>
    <w:rsid w:val="272158A7"/>
    <w:rsid w:val="58553175"/>
    <w:rsid w:val="6BC73489"/>
    <w:rsid w:val="6D535020"/>
    <w:rsid w:val="78502FE2"/>
    <w:rsid w:val="78F4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PingFang SC" w:hAnsi="PingFang SC" w:eastAsia="PingFang SC" w:cs="PingFang SC"/>
      <w:kern w:val="0"/>
      <w:sz w:val="24"/>
      <w:szCs w:val="24"/>
      <w:lang w:val="en-US" w:eastAsia="zh-CN" w:bidi="ar"/>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2020-07-07T08:56:00Z</dcterms:created>
  <dc:creator>yyy</dc:creator>
  <cp:lastModifiedBy>Administrator</cp:lastModifiedBy>
  <cp:lastPrinted>2020-10-28T23:58:00Z</cp:lastPrinted>
  <dcterms:modified xsi:type="dcterms:W3CDTF">2021-11-01T08:14:58Z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