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48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岳阳市云溪区财政支出绩效评价自评报告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 xml:space="preserve"> </w:t>
      </w:r>
    </w:p>
    <w:p>
      <w:pPr>
        <w:spacing w:line="760" w:lineRule="exact"/>
        <w:ind w:firstLine="470" w:firstLineChars="14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应急电源保障工程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云溪区机关事务服务中心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主管部门：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云溪区人民政府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spacing w:beforeLines="50" w:line="760" w:lineRule="exact"/>
        <w:ind w:firstLine="480" w:firstLineChars="1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32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评价机构：</w:t>
      </w:r>
      <w:r>
        <w:rPr>
          <w:rFonts w:hint="eastAsia" w:ascii="仿宋_GB2312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348" w:lineRule="auto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beforeLines="50" w:line="12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报告日期：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月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岳阳市云溪区财政局（制）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1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tbl>
      <w:tblPr>
        <w:tblStyle w:val="2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01"/>
        <w:gridCol w:w="690"/>
        <w:gridCol w:w="315"/>
        <w:gridCol w:w="1603"/>
        <w:gridCol w:w="152"/>
        <w:gridCol w:w="885"/>
        <w:gridCol w:w="245"/>
        <w:gridCol w:w="785"/>
        <w:gridCol w:w="297"/>
        <w:gridCol w:w="968"/>
        <w:gridCol w:w="1209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项目负责人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宋怡波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18173002288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项目地址</w:t>
            </w:r>
          </w:p>
        </w:tc>
        <w:tc>
          <w:tcPr>
            <w:tcW w:w="36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区政机关大院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  编</w:t>
            </w:r>
          </w:p>
        </w:tc>
        <w:tc>
          <w:tcPr>
            <w:tcW w:w="3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414009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项目起止时间</w:t>
            </w:r>
          </w:p>
        </w:tc>
        <w:tc>
          <w:tcPr>
            <w:tcW w:w="811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月起至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年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57.6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（万元）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114.4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其中：中央财政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  <w:szCs w:val="24"/>
              </w:rPr>
              <w:t>其中：中央财政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6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16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  <w:szCs w:val="24"/>
              </w:rPr>
              <w:t>其中：中央财政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省财政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市财政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其它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实际支出数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会计凭证号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应急电源保障工程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57.6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2020.12.22#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支出合计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57.6</w:t>
            </w:r>
          </w:p>
        </w:tc>
        <w:tc>
          <w:tcPr>
            <w:tcW w:w="23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9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  期 目 标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0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做好区政机关用电安全，切实保证单位应急用电，控制支出在预算内指标。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优化服务质量，提升政府形象，办事群众和工作人员满意率达到</w:t>
            </w: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99%。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4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项目绩效定量目标（指标）及完成情况</w:t>
            </w:r>
          </w:p>
        </w:tc>
        <w:tc>
          <w:tcPr>
            <w:tcW w:w="11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一级指标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二级指标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指标（目标）值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项目产出指标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机关大院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办公楼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质量指标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保证安全满意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时效指标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项目控制在公务开支范围内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57.6万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57.6万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项目效益指标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环境改造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服务对象满意度指标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满意度</w:t>
            </w: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绩效自评综合得分</w:t>
            </w:r>
          </w:p>
        </w:tc>
        <w:tc>
          <w:tcPr>
            <w:tcW w:w="7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评价等次</w:t>
            </w:r>
          </w:p>
        </w:tc>
        <w:tc>
          <w:tcPr>
            <w:tcW w:w="711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hint="eastAsia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  位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宋怡波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李中海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物业股长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朱淑娟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会计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机关事务管理局</w:t>
            </w:r>
          </w:p>
        </w:tc>
        <w:tc>
          <w:tcPr>
            <w:tcW w:w="31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项目单位意见：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主管部门意见：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96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财政部门归口业务股室意见：</w:t>
            </w: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财政部门归口业务股室负责人（签章）：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填报人（签名）：                          联系电话：</w:t>
      </w:r>
    </w:p>
    <w:tbl>
      <w:tblPr>
        <w:tblStyle w:val="2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评价报告综述（文字部分）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紧紧围绕区委、区政府的中心工作，切实加强物业服务和管理，为保障区政机关电源稳定与安全，财政预算项目经费为200万元,2020年11月资金到位172万元。2020年度用于项目开支57.6万元，项目尚未完成，2021年度继续实施该项目。我局做好日常维护、安全第一工作，坚持勤俭节约，避免浪费，控制成本。接受机关事务局领导、干部职工的监督。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rPr>
          <w:rFonts w:ascii="仿宋_GB2312" w:hAnsi="宋体" w:eastAsia="仿宋_GB2312"/>
          <w:kern w:val="0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  <w:r>
        <w:rPr>
          <w:rFonts w:ascii="仿宋_GB2312" w:hAnsi="宋体" w:eastAsia="仿宋_GB2312"/>
          <w:kern w:val="0"/>
        </w:rPr>
        <w:t xml:space="preserve"> </w:t>
      </w:r>
    </w:p>
    <w:p>
      <w:pPr>
        <w:spacing w:beforeLines="5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附件4-2</w:t>
      </w:r>
    </w:p>
    <w:p>
      <w:pPr>
        <w:spacing w:beforeLines="60" w:afterLines="60" w:line="560" w:lineRule="exact"/>
        <w:jc w:val="center"/>
        <w:rPr>
          <w:rFonts w:hint="eastAsia"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项目支出绩效评价指标体系（参考样表）</w:t>
      </w:r>
    </w:p>
    <w:tbl>
      <w:tblPr>
        <w:tblStyle w:val="2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①设有目标（1分）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②目标明确（1分）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③目标细化（1分）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①符合法律法规（1分）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②符合经济社会发展规划（1分）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③部门年度工作计划（1分）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④针对某一实际问题和需求（1分）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决策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①符合申报条件（2分）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②项目申报、批复程序符合管理办法（1分）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①有相应的资金管理办法（1分）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②办法健全、规范（1分）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③因素全面合理（1分）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分配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①符合分配办法（2分）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②分配公平合理（3分）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到位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①到位及时（2分）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t>②不及时但未影响项目进度 （1分）</w:t>
            </w:r>
            <w:r>
              <w:rPr>
                <w:rFonts w:hint="eastAsia" w:ascii="仿宋_GB2312" w:hAnsi="宋体" w:eastAsia="仿宋_GB2312"/>
                <w:spacing w:val="-1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①虚列套取扣4-7分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②依据不合规扣2分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③截留、挤占、挪用扣3-6分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④超标准开支扣2-5分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财务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①财务制度健全（1分）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②严格执行制度（1分）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③会计核算规范（1分）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项目管理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组织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①机构健全、分工明确  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支撑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①按计划开工（1分）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②按计划开展（1分）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管理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①管理制度健全（2分）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②制度执行严格（3分）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产出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经济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社会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可持续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服务对象满意率=项目区被调查人数中表示满意的人数(户数)/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98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p>
      <w:pPr>
        <w:adjustRightInd w:val="0"/>
        <w:snapToGrid w:val="0"/>
        <w:spacing w:beforeLines="50"/>
        <w:contextualSpacing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200" w:lineRule="exact"/>
        <w:contextualSpacing/>
        <w:jc w:val="right"/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5B570E"/>
    <w:multiLevelType w:val="singleLevel"/>
    <w:tmpl w:val="DD5B570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66A07"/>
    <w:rsid w:val="16F66A07"/>
    <w:rsid w:val="46A11F4C"/>
    <w:rsid w:val="631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2021-06-29T02:02:00Z</dcterms:created>
  <dc:creator>LENOVO-PC1</dc:creator>
  <cp:lastModifiedBy>LENOVO-PC1</cp:lastModifiedBy>
  <dcterms:modified xsi:type="dcterms:W3CDTF">2021-07-26T02:47:46Z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9F6BB3218327459DB0DF29BA830B8E69</vt:lpwstr>
  </property>
</Properties>
</file>