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附件3-1：</w:t>
      </w:r>
    </w:p>
    <w:p>
      <w:pPr>
        <w:spacing w:line="800" w:lineRule="exact"/>
        <w:jc w:val="center"/>
        <w:rPr>
          <w:rFonts w:hint="eastAsia" w:eastAsia="方正小标宋简体"/>
          <w:bCs/>
          <w:sz w:val="46"/>
          <w:szCs w:val="46"/>
        </w:rPr>
      </w:pPr>
      <w:r>
        <w:rPr>
          <w:rFonts w:hint="eastAsia" w:eastAsia="方正小标宋简体"/>
          <w:bCs/>
          <w:sz w:val="46"/>
          <w:szCs w:val="46"/>
        </w:rPr>
        <w:t>岳阳市云溪区20</w:t>
      </w:r>
      <w:r>
        <w:rPr>
          <w:rFonts w:hint="eastAsia" w:eastAsia="方正小标宋简体"/>
          <w:bCs/>
          <w:sz w:val="46"/>
          <w:szCs w:val="46"/>
          <w:u w:val="single"/>
          <w:lang w:val="en-US" w:eastAsia="zh-CN"/>
        </w:rPr>
        <w:t>2</w:t>
      </w:r>
      <w:r>
        <w:rPr>
          <w:rFonts w:hint="eastAsia" w:eastAsia="方正小标宋简体"/>
          <w:bCs/>
          <w:sz w:val="46"/>
          <w:szCs w:val="46"/>
          <w:u w:val="single"/>
          <w:lang w:val="en-US" w:eastAsia="zh-CN"/>
        </w:rPr>
        <w:t>0</w:t>
      </w:r>
      <w:r>
        <w:rPr>
          <w:rFonts w:hint="eastAsia" w:eastAsia="方正小标宋简体"/>
          <w:bCs/>
          <w:sz w:val="46"/>
          <w:szCs w:val="46"/>
        </w:rPr>
        <w:t>年度</w:t>
      </w:r>
      <w:r>
        <w:rPr>
          <w:rFonts w:hint="eastAsia" w:eastAsia="方正小标宋简体"/>
          <w:bCs/>
          <w:sz w:val="46"/>
          <w:szCs w:val="46"/>
          <w:lang w:val="en-US" w:eastAsia="zh-CN"/>
        </w:rPr>
        <w:t>单位</w:t>
      </w:r>
      <w:r>
        <w:rPr>
          <w:rFonts w:hint="eastAsia" w:eastAsia="方正小标宋简体"/>
          <w:bCs/>
          <w:sz w:val="46"/>
          <w:szCs w:val="46"/>
        </w:rPr>
        <w:t>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岳阳市云溪区长岭炼化协作协调局</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11</w:t>
      </w:r>
      <w:r>
        <w:rPr>
          <w:rFonts w:hint="eastAsia" w:eastAsia="仿宋_GB2312"/>
          <w:sz w:val="32"/>
        </w:rPr>
        <w:t xml:space="preserve"> 月 </w:t>
      </w:r>
      <w:r>
        <w:rPr>
          <w:rFonts w:hint="eastAsia" w:eastAsia="仿宋_GB2312"/>
          <w:sz w:val="32"/>
          <w:lang w:val="en-US" w:eastAsia="zh-CN"/>
        </w:rPr>
        <w:t>2</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59"/>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1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刘静</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8452866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1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70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00" w:type="dxa"/>
            <w:gridSpan w:val="1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eastAsia="仿宋_GB2312"/>
                <w:sz w:val="21"/>
                <w:szCs w:val="21"/>
              </w:rPr>
              <w:t>1、贯彻执行区委、区人民政府发展战略，为长岭炼化公司落实我区改制企业提供服务；2、负责长岭炼化公司与地方的矛盾纠纷调处工作，维护长岭炼化正常的生产生活秩序和地方人民群众的合法权益。3、负责长岭炼化公司和云溪区人民政府经济技术协作信息库建设，开展涉厂情况调研，及时传递沟通厂地高层信息，为区委、区人民政府提供决策依据。4、指导乡镇与长岭炼化公司的经济技术协作和矛盾纠纷协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73" w:hRule="atLeast"/>
          <w:jc w:val="center"/>
        </w:trPr>
        <w:tc>
          <w:tcPr>
            <w:tcW w:w="170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00" w:type="dxa"/>
            <w:gridSpan w:val="1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1、做好周边镇</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街道）</w:t>
            </w:r>
            <w:r>
              <w:rPr>
                <w:rFonts w:hint="eastAsia" w:ascii="仿宋_GB2312" w:hAnsi="仿宋_GB2312" w:eastAsia="仿宋_GB2312" w:cs="仿宋_GB2312"/>
                <w:color w:val="000000"/>
                <w:sz w:val="21"/>
                <w:szCs w:val="21"/>
              </w:rPr>
              <w:t>涉厂矛盾纠纷排查及突发事件的处置工作，完善调处机制，建立调处台帐，保证调处率95%以上，确保全年不发生一起严重群体涉厂事件。2、做好管线安全隐患治理、</w:t>
            </w:r>
            <w:r>
              <w:rPr>
                <w:rFonts w:hint="eastAsia" w:ascii="仿宋_GB2312" w:hAnsi="仿宋_GB2312" w:eastAsia="仿宋_GB2312" w:cs="仿宋_GB2312"/>
                <w:color w:val="000000"/>
                <w:sz w:val="21"/>
                <w:szCs w:val="21"/>
                <w:lang w:val="en-US" w:eastAsia="zh-CN"/>
              </w:rPr>
              <w:t>巡检便道施工、</w:t>
            </w:r>
            <w:r>
              <w:rPr>
                <w:rFonts w:hint="eastAsia" w:ascii="仿宋_GB2312" w:hAnsi="仿宋_GB2312" w:eastAsia="仿宋_GB2312" w:cs="仿宋_GB2312"/>
                <w:color w:val="000000"/>
                <w:sz w:val="21"/>
                <w:szCs w:val="21"/>
              </w:rPr>
              <w:t>八字门垃圾填埋场、长炼片区生活污水收集处理等重点工作协调服务工作。3、多渠道开展厂地经济技术协作工作，主动对长炼及所属改制企业进行调查走访，开展“联手帮扶”工作，优化企业发展环境。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26" w:hRule="atLeast"/>
          <w:jc w:val="center"/>
        </w:trPr>
        <w:tc>
          <w:tcPr>
            <w:tcW w:w="170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年度单位总体运行情况及取得的成绩</w:t>
            </w:r>
          </w:p>
        </w:tc>
        <w:tc>
          <w:tcPr>
            <w:tcW w:w="8100"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val="0"/>
                <w:color w:val="000000"/>
                <w:sz w:val="21"/>
                <w:szCs w:val="21"/>
              </w:rPr>
              <w:t>1、</w:t>
            </w:r>
            <w:r>
              <w:rPr>
                <w:rFonts w:hint="eastAsia" w:ascii="仿宋_GB2312" w:hAnsi="仿宋_GB2312" w:eastAsia="仿宋_GB2312" w:cs="仿宋_GB2312"/>
                <w:b w:val="0"/>
                <w:bCs w:val="0"/>
                <w:color w:val="000000"/>
                <w:sz w:val="21"/>
                <w:szCs w:val="21"/>
                <w:lang w:val="en-US" w:eastAsia="zh-CN"/>
              </w:rPr>
              <w:t>全力做好</w:t>
            </w:r>
            <w:r>
              <w:rPr>
                <w:rFonts w:hint="eastAsia" w:ascii="仿宋_GB2312" w:hAnsi="仿宋_GB2312" w:eastAsia="仿宋_GB2312" w:cs="仿宋_GB2312"/>
                <w:b w:val="0"/>
                <w:bCs w:val="0"/>
                <w:color w:val="000000"/>
                <w:sz w:val="21"/>
                <w:szCs w:val="21"/>
              </w:rPr>
              <w:t>涉厂矛盾纠纷及突发事件的</w:t>
            </w:r>
            <w:r>
              <w:rPr>
                <w:rFonts w:hint="eastAsia" w:ascii="仿宋_GB2312" w:hAnsi="仿宋_GB2312" w:eastAsia="仿宋_GB2312" w:cs="仿宋_GB2312"/>
                <w:b w:val="0"/>
                <w:bCs w:val="0"/>
                <w:color w:val="000000"/>
                <w:sz w:val="21"/>
                <w:szCs w:val="21"/>
                <w:lang w:val="en-US" w:eastAsia="zh-CN"/>
              </w:rPr>
              <w:t>协调</w:t>
            </w:r>
            <w:r>
              <w:rPr>
                <w:rFonts w:hint="eastAsia" w:ascii="仿宋_GB2312" w:hAnsi="仿宋_GB2312" w:eastAsia="仿宋_GB2312" w:cs="仿宋_GB2312"/>
                <w:b w:val="0"/>
                <w:bCs w:val="0"/>
                <w:color w:val="000000"/>
                <w:sz w:val="21"/>
                <w:szCs w:val="21"/>
              </w:rPr>
              <w:t>处置工作，全年</w:t>
            </w:r>
            <w:r>
              <w:rPr>
                <w:rFonts w:hint="eastAsia" w:ascii="仿宋_GB2312" w:hAnsi="仿宋_GB2312" w:eastAsia="仿宋_GB2312" w:cs="仿宋_GB2312"/>
                <w:b w:val="0"/>
                <w:bCs w:val="0"/>
                <w:color w:val="000000"/>
                <w:sz w:val="21"/>
                <w:szCs w:val="21"/>
                <w:lang w:val="en-US" w:eastAsia="zh-CN"/>
              </w:rPr>
              <w:t>没有</w:t>
            </w:r>
            <w:r>
              <w:rPr>
                <w:rFonts w:hint="eastAsia" w:ascii="仿宋_GB2312" w:hAnsi="仿宋_GB2312" w:eastAsia="仿宋_GB2312" w:cs="仿宋_GB2312"/>
                <w:b w:val="0"/>
                <w:bCs w:val="0"/>
                <w:color w:val="000000"/>
                <w:sz w:val="21"/>
                <w:szCs w:val="21"/>
              </w:rPr>
              <w:t>发生一起严重群体涉厂事件。</w:t>
            </w:r>
            <w:r>
              <w:rPr>
                <w:rFonts w:hint="eastAsia" w:ascii="仿宋_GB2312" w:hAnsi="仿宋_GB2312" w:eastAsia="仿宋_GB2312" w:cs="仿宋_GB2312"/>
                <w:b w:val="0"/>
                <w:bCs w:val="0"/>
                <w:color w:val="000000"/>
                <w:sz w:val="21"/>
                <w:szCs w:val="21"/>
                <w:lang w:val="en-US" w:eastAsia="zh-CN"/>
              </w:rPr>
              <w:t>2</w:t>
            </w:r>
            <w:r>
              <w:rPr>
                <w:rFonts w:hint="eastAsia" w:ascii="仿宋_GB2312" w:hAnsi="黑体" w:eastAsia="仿宋_GB2312" w:cs="黑体"/>
                <w:b w:val="0"/>
                <w:bCs w:val="0"/>
                <w:color w:val="000000"/>
                <w:kern w:val="0"/>
                <w:sz w:val="21"/>
                <w:szCs w:val="21"/>
              </w:rPr>
              <w:t>、</w:t>
            </w:r>
            <w:r>
              <w:rPr>
                <w:rFonts w:hint="eastAsia" w:ascii="仿宋_GB2312" w:hAnsi="仿宋_GB2312" w:eastAsia="仿宋_GB2312" w:cs="仿宋_GB2312"/>
                <w:b w:val="0"/>
                <w:bCs w:val="0"/>
                <w:spacing w:val="-4"/>
                <w:sz w:val="21"/>
                <w:szCs w:val="21"/>
              </w:rPr>
              <w:t>妥善协调处理好厂地周边矛盾。</w:t>
            </w:r>
            <w:r>
              <w:rPr>
                <w:rFonts w:hint="eastAsia" w:ascii="仿宋_GB2312" w:hAnsi="仿宋" w:eastAsia="仿宋_GB2312" w:cs="宋体"/>
                <w:b w:val="0"/>
                <w:bCs w:val="0"/>
                <w:sz w:val="21"/>
                <w:szCs w:val="21"/>
              </w:rPr>
              <w:t>。</w:t>
            </w:r>
            <w:r>
              <w:rPr>
                <w:rFonts w:hint="eastAsia" w:ascii="仿宋_GB2312" w:hAnsi="仿宋" w:eastAsia="仿宋_GB2312" w:cs="宋体"/>
                <w:b w:val="0"/>
                <w:bCs w:val="0"/>
                <w:sz w:val="21"/>
                <w:szCs w:val="21"/>
                <w:lang w:val="en-US" w:eastAsia="zh-CN"/>
              </w:rPr>
              <w:t>3、</w:t>
            </w:r>
            <w:r>
              <w:rPr>
                <w:rFonts w:hint="eastAsia" w:ascii="仿宋_GB2312" w:hAnsi="仿宋_GB2312" w:eastAsia="仿宋_GB2312" w:cs="仿宋_GB2312"/>
                <w:sz w:val="21"/>
                <w:szCs w:val="21"/>
              </w:rPr>
              <w:t>协调解决老液化气站停放危货车辆给周边群众造成安全隐患导致群众上访问题；协助</w:t>
            </w:r>
            <w:r>
              <w:rPr>
                <w:rFonts w:hint="eastAsia" w:ascii="仿宋_GB2312" w:hAnsi="仿宋_GB2312" w:eastAsia="仿宋_GB2312" w:cs="仿宋_GB2312"/>
                <w:sz w:val="21"/>
                <w:szCs w:val="21"/>
                <w:lang w:val="en-US" w:eastAsia="zh-CN"/>
              </w:rPr>
              <w:t>做好</w:t>
            </w:r>
            <w:r>
              <w:rPr>
                <w:rFonts w:hint="eastAsia" w:ascii="仿宋_GB2312" w:hAnsi="仿宋_GB2312" w:eastAsia="仿宋_GB2312" w:cs="仿宋_GB2312"/>
                <w:sz w:val="21"/>
                <w:szCs w:val="21"/>
              </w:rPr>
              <w:t>长岭社区生活污水线路铺设和北干道污水管道开挖等</w:t>
            </w:r>
            <w:r>
              <w:rPr>
                <w:rFonts w:hint="eastAsia" w:ascii="仿宋_GB2312" w:hAnsi="仿宋_GB2312" w:eastAsia="仿宋_GB2312" w:cs="仿宋_GB2312"/>
                <w:sz w:val="21"/>
                <w:szCs w:val="21"/>
                <w:lang w:val="en-US" w:eastAsia="zh-CN"/>
              </w:rPr>
              <w:t>工作。</w:t>
            </w:r>
            <w:r>
              <w:rPr>
                <w:rFonts w:hint="eastAsia" w:ascii="仿宋_GB2312" w:hAnsi="仿宋" w:eastAsia="仿宋_GB2312" w:cs="宋体"/>
                <w:b w:val="0"/>
                <w:bCs w:val="0"/>
                <w:kern w:val="0"/>
                <w:sz w:val="21"/>
                <w:szCs w:val="21"/>
                <w:lang w:val="en-US" w:eastAsia="zh-CN"/>
              </w:rPr>
              <w:t>4、</w:t>
            </w:r>
            <w:r>
              <w:rPr>
                <w:rFonts w:hint="eastAsia" w:ascii="仿宋_GB2312" w:hAnsi="宋体" w:eastAsia="仿宋_GB2312" w:cs="宋体"/>
                <w:b w:val="0"/>
                <w:bCs w:val="0"/>
                <w:spacing w:val="-4"/>
                <w:kern w:val="0"/>
                <w:sz w:val="21"/>
                <w:szCs w:val="21"/>
              </w:rPr>
              <w:t>配合做好</w:t>
            </w:r>
            <w:r>
              <w:rPr>
                <w:rFonts w:hint="eastAsia" w:ascii="仿宋_GB2312" w:hAnsi="宋体" w:eastAsia="仿宋_GB2312" w:cs="宋体"/>
                <w:b w:val="0"/>
                <w:bCs w:val="0"/>
                <w:spacing w:val="-4"/>
                <w:kern w:val="0"/>
                <w:sz w:val="21"/>
                <w:szCs w:val="21"/>
                <w:lang w:val="en-US" w:eastAsia="zh-CN"/>
              </w:rPr>
              <w:t>疫情防控工作</w:t>
            </w:r>
            <w:r>
              <w:rPr>
                <w:rFonts w:hint="eastAsia" w:ascii="仿宋_GB2312" w:hAnsi="宋体" w:eastAsia="仿宋_GB2312" w:cs="宋体"/>
                <w:b w:val="0"/>
                <w:bCs w:val="0"/>
                <w:spacing w:val="-4"/>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149.2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9.87</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139.33</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149.2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9.87</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139.33</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124.52</w:t>
            </w:r>
          </w:p>
        </w:tc>
        <w:tc>
          <w:tcPr>
            <w:tcW w:w="1355" w:type="dxa"/>
            <w:gridSpan w:val="2"/>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124.52</w:t>
            </w:r>
          </w:p>
        </w:tc>
        <w:tc>
          <w:tcPr>
            <w:tcW w:w="1080" w:type="dxa"/>
            <w:gridSpan w:val="2"/>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53.81</w:t>
            </w:r>
          </w:p>
        </w:tc>
        <w:tc>
          <w:tcPr>
            <w:tcW w:w="2160" w:type="dxa"/>
            <w:gridSpan w:val="4"/>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70.71</w:t>
            </w:r>
          </w:p>
        </w:tc>
        <w:tc>
          <w:tcPr>
            <w:tcW w:w="1080" w:type="dxa"/>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124.52</w:t>
            </w:r>
          </w:p>
        </w:tc>
        <w:tc>
          <w:tcPr>
            <w:tcW w:w="1355" w:type="dxa"/>
            <w:gridSpan w:val="2"/>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124.52</w:t>
            </w:r>
          </w:p>
        </w:tc>
        <w:tc>
          <w:tcPr>
            <w:tcW w:w="1080"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70.80</w:t>
            </w:r>
          </w:p>
        </w:tc>
        <w:tc>
          <w:tcPr>
            <w:tcW w:w="2160" w:type="dxa"/>
            <w:gridSpan w:val="4"/>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70.71</w:t>
            </w:r>
          </w:p>
        </w:tc>
        <w:tc>
          <w:tcPr>
            <w:tcW w:w="1080" w:type="dxa"/>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4.15</w:t>
            </w:r>
          </w:p>
        </w:tc>
        <w:tc>
          <w:tcPr>
            <w:tcW w:w="1355" w:type="dxa"/>
            <w:gridSpan w:val="2"/>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0.93</w:t>
            </w:r>
          </w:p>
        </w:tc>
        <w:tc>
          <w:tcPr>
            <w:tcW w:w="1080" w:type="dxa"/>
            <w:gridSpan w:val="2"/>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3.22</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4.15</w:t>
            </w:r>
          </w:p>
        </w:tc>
        <w:tc>
          <w:tcPr>
            <w:tcW w:w="1355" w:type="dxa"/>
            <w:gridSpan w:val="2"/>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0.93</w:t>
            </w:r>
          </w:p>
        </w:tc>
        <w:tc>
          <w:tcPr>
            <w:tcW w:w="1080" w:type="dxa"/>
            <w:gridSpan w:val="2"/>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3.22</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24.79</w:t>
            </w:r>
          </w:p>
        </w:tc>
        <w:tc>
          <w:tcPr>
            <w:tcW w:w="2435" w:type="dxa"/>
            <w:gridSpan w:val="4"/>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24.79</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24.79</w:t>
            </w:r>
          </w:p>
        </w:tc>
        <w:tc>
          <w:tcPr>
            <w:tcW w:w="2435" w:type="dxa"/>
            <w:gridSpan w:val="4"/>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24.79</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6"/>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1、做好涉厂矛盾纠纷及突发事件处置工作。2、完成巡检便道项目施工.3、协助完成“三供一业”社会职能移交相关工作</w:t>
            </w:r>
          </w:p>
        </w:tc>
        <w:tc>
          <w:tcPr>
            <w:tcW w:w="4585" w:type="dxa"/>
            <w:gridSpan w:val="9"/>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宋体" w:eastAsia="仿宋_GB2312"/>
                <w:b w:val="0"/>
                <w:bCs w:val="0"/>
                <w:sz w:val="21"/>
                <w:szCs w:val="21"/>
              </w:rPr>
              <w:t>做好周边乡镇村组涉厂矛盾纠纷排查及突发事件的处置工作，调处率95%以上。</w:t>
            </w:r>
          </w:p>
        </w:tc>
        <w:tc>
          <w:tcPr>
            <w:tcW w:w="2684"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eastAsia="仿宋_GB2312"/>
                <w:b w:val="0"/>
                <w:bCs w:val="0"/>
                <w:sz w:val="21"/>
                <w:szCs w:val="21"/>
              </w:rPr>
              <w:t>年度调处各类涉厂矛盾纠纷</w:t>
            </w:r>
            <w:r>
              <w:rPr>
                <w:rFonts w:hint="eastAsia" w:ascii="仿宋_GB2312" w:eastAsia="仿宋_GB2312"/>
                <w:b w:val="0"/>
                <w:bCs w:val="0"/>
                <w:sz w:val="21"/>
                <w:szCs w:val="21"/>
                <w:lang w:val="en-US" w:eastAsia="zh-CN"/>
              </w:rPr>
              <w:t>95</w:t>
            </w:r>
            <w:r>
              <w:rPr>
                <w:rFonts w:hint="eastAsia" w:ascii="仿宋_GB2312" w:eastAsia="仿宋_GB2312"/>
                <w:b w:val="0"/>
                <w:bCs w:val="0"/>
                <w:sz w:val="21"/>
                <w:szCs w:val="21"/>
              </w:rPr>
              <w:t>起，调处率95%以上</w:t>
            </w:r>
            <w:r>
              <w:rPr>
                <w:rFonts w:hint="eastAsia" w:ascii="仿宋_GB2312" w:eastAsia="仿宋_GB2312"/>
                <w:b w:val="0"/>
                <w:bCs w:val="0"/>
                <w:sz w:val="21"/>
                <w:szCs w:val="21"/>
                <w:lang w:eastAsia="zh-CN"/>
              </w:rPr>
              <w:t>，</w:t>
            </w:r>
            <w:r>
              <w:rPr>
                <w:rFonts w:hint="eastAsia" w:ascii="仿宋_GB2312" w:eastAsia="仿宋_GB2312"/>
                <w:b w:val="0"/>
                <w:bCs w:val="0"/>
                <w:sz w:val="21"/>
                <w:szCs w:val="21"/>
                <w:lang w:val="en-US" w:eastAsia="zh-CN"/>
              </w:rPr>
              <w:t>没有发生群体性涉厂事件</w:t>
            </w:r>
            <w:r>
              <w:rPr>
                <w:rFonts w:hint="eastAsia" w:ascii="仿宋_GB2312" w:eastAsia="仿宋_GB2312"/>
                <w:b w:val="0"/>
                <w:bCs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9"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做好巡检便道项目施工协调。</w:t>
            </w:r>
          </w:p>
        </w:tc>
        <w:tc>
          <w:tcPr>
            <w:tcW w:w="2684"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20120年5月全部完工。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3"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宋体" w:eastAsia="仿宋_GB2312" w:cs="宋体"/>
                <w:b w:val="0"/>
                <w:bCs w:val="0"/>
                <w:spacing w:val="-4"/>
                <w:kern w:val="0"/>
                <w:sz w:val="21"/>
                <w:szCs w:val="21"/>
              </w:rPr>
              <w:t>配合做好长炼片区生活污水集中收集处理工作。</w:t>
            </w:r>
          </w:p>
        </w:tc>
        <w:tc>
          <w:tcPr>
            <w:tcW w:w="2684"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宋体" w:eastAsia="仿宋_GB2312" w:cs="宋体"/>
                <w:b w:val="0"/>
                <w:bCs w:val="0"/>
                <w:spacing w:val="-4"/>
                <w:kern w:val="0"/>
                <w:sz w:val="21"/>
                <w:szCs w:val="21"/>
              </w:rPr>
              <w:t>选</w:t>
            </w:r>
            <w:r>
              <w:rPr>
                <w:rFonts w:hint="eastAsia" w:ascii="仿宋_GB2312" w:eastAsia="仿宋_GB2312"/>
                <w:b w:val="0"/>
                <w:bCs w:val="0"/>
                <w:sz w:val="21"/>
                <w:szCs w:val="21"/>
              </w:rPr>
              <w:t>址</w:t>
            </w:r>
            <w:r>
              <w:rPr>
                <w:rFonts w:hint="eastAsia" w:ascii="仿宋_GB2312" w:eastAsia="仿宋_GB2312"/>
                <w:b w:val="0"/>
                <w:bCs w:val="0"/>
                <w:sz w:val="21"/>
                <w:szCs w:val="21"/>
                <w:lang w:val="en-US" w:eastAsia="zh-CN"/>
              </w:rPr>
              <w:t>路口镇南岳村，由城建投组织实施。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3"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keepNext w:val="0"/>
              <w:keepLines w:val="0"/>
              <w:pageBreakBefore w:val="0"/>
              <w:widowControl w:val="0"/>
              <w:kinsoku/>
              <w:wordWrap/>
              <w:overflowPunct/>
              <w:topLinePunct w:val="0"/>
              <w:autoSpaceDE/>
              <w:bidi w:val="0"/>
              <w:adjustRightInd/>
              <w:snapToGrid/>
              <w:spacing w:line="240" w:lineRule="exact"/>
              <w:ind w:firstLine="420" w:firstLineChars="200"/>
              <w:rPr>
                <w:rFonts w:ascii="仿宋_GB2312" w:hAnsi="仿宋" w:eastAsia="仿宋_GB2312" w:cs="宋体"/>
                <w:b w:val="0"/>
                <w:bCs/>
                <w:spacing w:val="-4"/>
                <w:sz w:val="21"/>
                <w:szCs w:val="21"/>
              </w:rPr>
            </w:pPr>
            <w:r>
              <w:rPr>
                <w:rFonts w:hint="eastAsia" w:ascii="仿宋_GB2312" w:hAnsi="仿宋" w:eastAsia="仿宋_GB2312"/>
                <w:b w:val="0"/>
                <w:bCs/>
                <w:sz w:val="21"/>
                <w:szCs w:val="21"/>
              </w:rPr>
              <w:t>协调</w:t>
            </w:r>
            <w:r>
              <w:rPr>
                <w:rFonts w:hint="eastAsia" w:ascii="仿宋_GB2312" w:hAnsi="仿宋" w:eastAsia="仿宋_GB2312"/>
                <w:b w:val="0"/>
                <w:bCs/>
                <w:sz w:val="21"/>
                <w:szCs w:val="21"/>
                <w:lang w:val="en-US" w:eastAsia="zh-CN"/>
              </w:rPr>
              <w:t>做好管道安全隐患工作</w:t>
            </w:r>
            <w:r>
              <w:rPr>
                <w:rFonts w:hint="eastAsia" w:ascii="仿宋_GB2312" w:hAnsi="仿宋" w:eastAsia="仿宋_GB2312"/>
                <w:b w:val="0"/>
                <w:bCs/>
                <w:sz w:val="21"/>
                <w:szCs w:val="21"/>
              </w:rPr>
              <w:t>。</w:t>
            </w:r>
          </w:p>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val="0"/>
                <w:bCs w:val="0"/>
                <w:sz w:val="21"/>
                <w:szCs w:val="21"/>
              </w:rPr>
              <w:t>协调解决老液化气站停放危货车辆给周边群众造成安全隐患导致群众上访问题；协助</w:t>
            </w:r>
            <w:r>
              <w:rPr>
                <w:rFonts w:hint="eastAsia" w:ascii="仿宋_GB2312" w:hAnsi="仿宋_GB2312" w:eastAsia="仿宋_GB2312" w:cs="仿宋_GB2312"/>
                <w:b w:val="0"/>
                <w:bCs w:val="0"/>
                <w:sz w:val="21"/>
                <w:szCs w:val="21"/>
                <w:lang w:val="en-US" w:eastAsia="zh-CN"/>
              </w:rPr>
              <w:t>做好</w:t>
            </w:r>
            <w:r>
              <w:rPr>
                <w:rFonts w:hint="eastAsia" w:ascii="仿宋_GB2312" w:hAnsi="仿宋_GB2312" w:eastAsia="仿宋_GB2312" w:cs="仿宋_GB2312"/>
                <w:b w:val="0"/>
                <w:bCs w:val="0"/>
                <w:sz w:val="21"/>
                <w:szCs w:val="21"/>
              </w:rPr>
              <w:t>长岭社区生活污水线路铺设和北干道污水管道开挖等</w:t>
            </w:r>
            <w:r>
              <w:rPr>
                <w:rFonts w:hint="eastAsia" w:ascii="仿宋_GB2312" w:hAnsi="仿宋_GB2312" w:eastAsia="仿宋_GB2312" w:cs="仿宋_GB2312"/>
                <w:b w:val="0"/>
                <w:bCs w:val="0"/>
                <w:sz w:val="21"/>
                <w:szCs w:val="21"/>
                <w:lang w:val="en-US" w:eastAsia="zh-CN"/>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26"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5"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2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控制在预算内</w:t>
            </w:r>
          </w:p>
        </w:tc>
        <w:tc>
          <w:tcPr>
            <w:tcW w:w="2684" w:type="dxa"/>
            <w:gridSpan w:val="6"/>
            <w:noWrap w:val="0"/>
            <w:vAlign w:val="center"/>
          </w:tcPr>
          <w:p>
            <w:pPr>
              <w:autoSpaceDN w:val="0"/>
              <w:spacing w:line="240" w:lineRule="exact"/>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24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办理“12345”公众热线。</w:t>
            </w:r>
          </w:p>
        </w:tc>
        <w:tc>
          <w:tcPr>
            <w:tcW w:w="2684" w:type="dxa"/>
            <w:gridSpan w:val="6"/>
            <w:noWrap w:val="0"/>
            <w:vAlign w:val="center"/>
          </w:tcPr>
          <w:p>
            <w:pPr>
              <w:autoSpaceDN w:val="0"/>
              <w:spacing w:line="240" w:lineRule="exact"/>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办理好</w:t>
            </w:r>
            <w:r>
              <w:rPr>
                <w:rFonts w:hint="eastAsia" w:ascii="仿宋_GB2312" w:hAnsi="仿宋_GB2312" w:eastAsia="仿宋_GB2312" w:cs="仿宋_GB2312"/>
                <w:color w:val="000000"/>
                <w:sz w:val="24"/>
                <w:lang w:val="en-US" w:eastAsia="zh-CN"/>
              </w:rPr>
              <w:t>30</w:t>
            </w:r>
            <w:r>
              <w:rPr>
                <w:rFonts w:hint="eastAsia" w:ascii="仿宋_GB2312" w:hAnsi="仿宋_GB2312" w:eastAsia="仿宋_GB2312" w:cs="仿宋_GB2312"/>
                <w:color w:val="000000"/>
                <w:sz w:val="24"/>
              </w:rPr>
              <w:t>件提“12345”公众热线。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00" w:type="dxa"/>
            <w:gridSpan w:val="1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1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2"/>
            <w:noWrap w:val="0"/>
            <w:vAlign w:val="center"/>
          </w:tcPr>
          <w:p>
            <w:pPr>
              <w:autoSpaceDN w:val="0"/>
              <w:spacing w:line="40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朱永祥</w:t>
            </w:r>
          </w:p>
        </w:tc>
        <w:tc>
          <w:tcPr>
            <w:tcW w:w="3515" w:type="dxa"/>
            <w:gridSpan w:val="5"/>
            <w:noWrap w:val="0"/>
            <w:vAlign w:val="center"/>
          </w:tcPr>
          <w:p>
            <w:pPr>
              <w:autoSpaceDN w:val="0"/>
              <w:spacing w:line="40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副局长</w:t>
            </w:r>
          </w:p>
        </w:tc>
        <w:tc>
          <w:tcPr>
            <w:tcW w:w="1479" w:type="dxa"/>
            <w:noWrap w:val="0"/>
            <w:vAlign w:val="center"/>
          </w:tcPr>
          <w:p>
            <w:pPr>
              <w:jc w:val="center"/>
              <w:rPr>
                <w:rFonts w:hint="eastAsia"/>
                <w:kern w:val="2"/>
                <w:sz w:val="21"/>
                <w:szCs w:val="24"/>
                <w:lang w:val="en-US" w:eastAsia="zh-CN" w:bidi="ar-SA"/>
              </w:rPr>
            </w:pPr>
            <w:r>
              <w:rPr>
                <w:rFonts w:hint="eastAsia" w:ascii="仿宋" w:hAnsi="仿宋" w:eastAsia="仿宋" w:cs="仿宋_GB2312"/>
                <w:color w:val="000000"/>
                <w:sz w:val="24"/>
              </w:rPr>
              <w:t>区长炼协作局</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2"/>
            <w:noWrap w:val="0"/>
            <w:vAlign w:val="center"/>
          </w:tcPr>
          <w:p>
            <w:pPr>
              <w:autoSpaceDN w:val="0"/>
              <w:spacing w:line="40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刘  静</w:t>
            </w:r>
          </w:p>
        </w:tc>
        <w:tc>
          <w:tcPr>
            <w:tcW w:w="3515" w:type="dxa"/>
            <w:gridSpan w:val="5"/>
            <w:noWrap w:val="0"/>
            <w:vAlign w:val="center"/>
          </w:tcPr>
          <w:p>
            <w:pPr>
              <w:autoSpaceDN w:val="0"/>
              <w:spacing w:line="40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工会主席</w:t>
            </w:r>
          </w:p>
        </w:tc>
        <w:tc>
          <w:tcPr>
            <w:tcW w:w="1479" w:type="dxa"/>
            <w:noWrap w:val="0"/>
            <w:vAlign w:val="center"/>
          </w:tcPr>
          <w:p>
            <w:pPr>
              <w:jc w:val="center"/>
              <w:rPr>
                <w:rFonts w:hint="eastAsia"/>
                <w:kern w:val="2"/>
                <w:sz w:val="21"/>
                <w:szCs w:val="24"/>
                <w:lang w:val="en-US" w:eastAsia="zh-CN" w:bidi="ar-SA"/>
              </w:rPr>
            </w:pPr>
            <w:r>
              <w:rPr>
                <w:rFonts w:hint="eastAsia" w:ascii="仿宋" w:hAnsi="仿宋" w:eastAsia="仿宋" w:cs="仿宋_GB2312"/>
                <w:color w:val="000000"/>
                <w:sz w:val="24"/>
              </w:rPr>
              <w:t>区长炼协作局</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1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1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noWrap w:val="0"/>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val="en-US" w:eastAsia="zh-CN"/>
        </w:rPr>
        <w:t>刘静</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8452866</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98" w:hRule="atLeast"/>
          <w:jc w:val="center"/>
        </w:trPr>
        <w:tc>
          <w:tcPr>
            <w:tcW w:w="9558" w:type="dxa"/>
            <w:noWrap w:val="0"/>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spacing w:line="4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一、单位概况</w:t>
            </w:r>
          </w:p>
          <w:p>
            <w:pPr>
              <w:spacing w:line="3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（一）单位基本情况</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长岭炼化协作协调局，成立于2001年3月，主要负责长岭炼化公司与地方部门和周边乡镇、村组的矛盾纠纷协调以及地方与大厂的经济技术协作工作。全额拨款事业单位。</w:t>
            </w:r>
          </w:p>
          <w:p>
            <w:pPr>
              <w:spacing w:line="3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（二）单位整体支出规模、使用方向和主要内容、涉及范围等</w:t>
            </w:r>
          </w:p>
          <w:p>
            <w:pPr>
              <w:pStyle w:val="5"/>
              <w:shd w:val="clear" w:color="auto" w:fill="FFFFFF"/>
              <w:spacing w:before="0" w:beforeAutospacing="0" w:after="0" w:afterAutospacing="0" w:line="360" w:lineRule="exact"/>
              <w:ind w:firstLine="480"/>
              <w:rPr>
                <w:rFonts w:hint="eastAsia" w:ascii="仿宋_GB2312" w:eastAsia="仿宋_GB2312"/>
                <w:color w:val="222222"/>
                <w:sz w:val="28"/>
                <w:szCs w:val="28"/>
              </w:rPr>
            </w:pPr>
            <w:r>
              <w:rPr>
                <w:rFonts w:hint="eastAsia" w:ascii="仿宋_GB2312" w:eastAsia="仿宋_GB2312"/>
                <w:color w:val="222222"/>
                <w:sz w:val="28"/>
                <w:szCs w:val="28"/>
                <w:lang w:val="en-US" w:eastAsia="zh-CN"/>
              </w:rPr>
              <w:t>2020</w:t>
            </w:r>
            <w:r>
              <w:rPr>
                <w:rFonts w:hint="eastAsia" w:ascii="仿宋_GB2312" w:eastAsia="仿宋_GB2312"/>
                <w:color w:val="222222"/>
                <w:sz w:val="28"/>
                <w:szCs w:val="28"/>
              </w:rPr>
              <w:t>年收入总计</w:t>
            </w:r>
            <w:r>
              <w:rPr>
                <w:rFonts w:hint="eastAsia" w:ascii="仿宋_GB2312" w:eastAsia="仿宋_GB2312"/>
                <w:color w:val="222222"/>
                <w:sz w:val="28"/>
                <w:szCs w:val="28"/>
                <w:lang w:val="en-US" w:eastAsia="zh-CN"/>
              </w:rPr>
              <w:t>149.9</w:t>
            </w:r>
            <w:r>
              <w:rPr>
                <w:rFonts w:hint="eastAsia" w:ascii="仿宋_GB2312" w:eastAsia="仿宋_GB2312"/>
                <w:color w:val="222222"/>
                <w:sz w:val="28"/>
                <w:szCs w:val="28"/>
              </w:rPr>
              <w:t>万元，其中上年结转</w:t>
            </w:r>
            <w:r>
              <w:rPr>
                <w:rFonts w:hint="eastAsia" w:ascii="仿宋_GB2312" w:eastAsia="仿宋_GB2312"/>
                <w:color w:val="222222"/>
                <w:sz w:val="28"/>
                <w:szCs w:val="28"/>
                <w:lang w:val="en-US" w:eastAsia="zh-CN"/>
              </w:rPr>
              <w:t>9.87</w:t>
            </w:r>
            <w:r>
              <w:rPr>
                <w:rFonts w:hint="eastAsia" w:ascii="仿宋_GB2312" w:eastAsia="仿宋_GB2312"/>
                <w:color w:val="222222"/>
                <w:sz w:val="28"/>
                <w:szCs w:val="28"/>
              </w:rPr>
              <w:t>万元，公共财政拨款收入</w:t>
            </w:r>
            <w:r>
              <w:rPr>
                <w:rFonts w:hint="eastAsia" w:ascii="仿宋_GB2312" w:eastAsia="仿宋_GB2312"/>
                <w:color w:val="222222"/>
                <w:sz w:val="28"/>
                <w:szCs w:val="28"/>
                <w:lang w:val="en-US" w:eastAsia="zh-CN"/>
              </w:rPr>
              <w:t>139.33</w:t>
            </w:r>
            <w:r>
              <w:rPr>
                <w:rFonts w:hint="eastAsia" w:ascii="仿宋_GB2312" w:eastAsia="仿宋_GB2312"/>
                <w:color w:val="222222"/>
                <w:sz w:val="28"/>
                <w:szCs w:val="28"/>
              </w:rPr>
              <w:t>万元。全年总支出</w:t>
            </w:r>
            <w:r>
              <w:rPr>
                <w:rFonts w:hint="eastAsia" w:ascii="仿宋_GB2312" w:eastAsia="仿宋_GB2312"/>
                <w:color w:val="222222"/>
                <w:sz w:val="28"/>
                <w:szCs w:val="28"/>
                <w:lang w:val="en-US" w:eastAsia="zh-CN"/>
              </w:rPr>
              <w:t>124.52</w:t>
            </w:r>
            <w:r>
              <w:rPr>
                <w:rFonts w:hint="eastAsia" w:ascii="仿宋_GB2312" w:eastAsia="仿宋_GB2312"/>
                <w:color w:val="222222"/>
                <w:sz w:val="28"/>
                <w:szCs w:val="28"/>
              </w:rPr>
              <w:t>万元，其中人员支出</w:t>
            </w:r>
            <w:r>
              <w:rPr>
                <w:rFonts w:hint="eastAsia" w:ascii="仿宋_GB2312" w:eastAsia="仿宋_GB2312"/>
                <w:color w:val="222222"/>
                <w:sz w:val="28"/>
                <w:szCs w:val="28"/>
                <w:lang w:val="en-US" w:eastAsia="zh-CN"/>
              </w:rPr>
              <w:t>53.81</w:t>
            </w:r>
            <w:r>
              <w:rPr>
                <w:rFonts w:hint="eastAsia" w:ascii="仿宋_GB2312" w:eastAsia="仿宋_GB2312"/>
                <w:color w:val="222222"/>
                <w:sz w:val="28"/>
                <w:szCs w:val="28"/>
              </w:rPr>
              <w:t>万元，公用支出</w:t>
            </w:r>
            <w:r>
              <w:rPr>
                <w:rFonts w:hint="eastAsia" w:ascii="仿宋_GB2312" w:eastAsia="仿宋_GB2312"/>
                <w:color w:val="222222"/>
                <w:sz w:val="28"/>
                <w:szCs w:val="28"/>
                <w:lang w:val="en-US" w:eastAsia="zh-CN"/>
              </w:rPr>
              <w:t>70.71</w:t>
            </w:r>
            <w:r>
              <w:rPr>
                <w:rFonts w:hint="eastAsia" w:ascii="仿宋_GB2312" w:eastAsia="仿宋_GB2312"/>
                <w:color w:val="222222"/>
                <w:sz w:val="28"/>
                <w:szCs w:val="28"/>
              </w:rPr>
              <w:t>万元。</w:t>
            </w:r>
          </w:p>
          <w:p>
            <w:pPr>
              <w:spacing w:line="360" w:lineRule="exact"/>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rPr>
              <w:t>二、单位整体支出管理及使用情况</w:t>
            </w:r>
          </w:p>
          <w:p>
            <w:pPr>
              <w:spacing w:line="3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pStyle w:val="5"/>
              <w:shd w:val="clear" w:color="auto" w:fill="FFFFFF"/>
              <w:spacing w:before="0" w:beforeAutospacing="0" w:after="0" w:afterAutospacing="0" w:line="360" w:lineRule="exact"/>
              <w:ind w:firstLine="480"/>
              <w:rPr>
                <w:rFonts w:hint="eastAsia" w:ascii="仿宋_GB2312" w:eastAsia="仿宋_GB2312"/>
                <w:color w:val="222222"/>
                <w:sz w:val="28"/>
                <w:szCs w:val="28"/>
              </w:rPr>
            </w:pPr>
            <w:r>
              <w:rPr>
                <w:rFonts w:hint="eastAsia" w:ascii="仿宋_GB2312" w:eastAsia="仿宋_GB2312"/>
                <w:color w:val="222222"/>
                <w:sz w:val="28"/>
                <w:szCs w:val="28"/>
              </w:rPr>
              <w:t>基本支出共计</w:t>
            </w:r>
            <w:r>
              <w:rPr>
                <w:rFonts w:hint="eastAsia" w:ascii="仿宋_GB2312" w:eastAsia="仿宋_GB2312"/>
                <w:color w:val="222222"/>
                <w:sz w:val="28"/>
                <w:szCs w:val="28"/>
                <w:lang w:val="en-US" w:eastAsia="zh-CN"/>
              </w:rPr>
              <w:t>124.52</w:t>
            </w:r>
            <w:r>
              <w:rPr>
                <w:rFonts w:hint="eastAsia" w:ascii="仿宋_GB2312" w:eastAsia="仿宋_GB2312"/>
                <w:color w:val="222222"/>
                <w:sz w:val="28"/>
                <w:szCs w:val="28"/>
              </w:rPr>
              <w:t>万元，其中人员支出</w:t>
            </w:r>
            <w:r>
              <w:rPr>
                <w:rFonts w:hint="eastAsia" w:ascii="仿宋_GB2312" w:eastAsia="仿宋_GB2312"/>
                <w:color w:val="222222"/>
                <w:sz w:val="28"/>
                <w:szCs w:val="28"/>
                <w:lang w:val="en-US" w:eastAsia="zh-CN"/>
              </w:rPr>
              <w:t>53.81万</w:t>
            </w:r>
            <w:r>
              <w:rPr>
                <w:rFonts w:hint="eastAsia" w:ascii="仿宋_GB2312" w:eastAsia="仿宋_GB2312"/>
                <w:color w:val="222222"/>
                <w:sz w:val="28"/>
                <w:szCs w:val="28"/>
              </w:rPr>
              <w:t>元，公用支出</w:t>
            </w:r>
            <w:r>
              <w:rPr>
                <w:rFonts w:hint="eastAsia" w:ascii="仿宋_GB2312" w:eastAsia="仿宋_GB2312"/>
                <w:color w:val="222222"/>
                <w:sz w:val="28"/>
                <w:szCs w:val="28"/>
                <w:lang w:val="en-US" w:eastAsia="zh-CN"/>
              </w:rPr>
              <w:t>70.71</w:t>
            </w:r>
            <w:r>
              <w:rPr>
                <w:rFonts w:hint="eastAsia" w:ascii="仿宋_GB2312" w:eastAsia="仿宋_GB2312"/>
                <w:color w:val="222222"/>
                <w:sz w:val="28"/>
                <w:szCs w:val="28"/>
              </w:rPr>
              <w:t>万元。</w:t>
            </w:r>
          </w:p>
          <w:p>
            <w:pPr>
              <w:spacing w:line="360" w:lineRule="exact"/>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rPr>
              <w:t>三、单位整体支出绩效情况</w:t>
            </w:r>
          </w:p>
          <w:p>
            <w:pPr>
              <w:pStyle w:val="5"/>
              <w:shd w:val="clear" w:color="auto" w:fill="FFFFFF"/>
              <w:spacing w:before="0" w:beforeAutospacing="0" w:after="0" w:afterAutospacing="0" w:line="360" w:lineRule="exact"/>
              <w:ind w:firstLine="480"/>
              <w:rPr>
                <w:rFonts w:hint="eastAsia" w:ascii="仿宋_GB2312" w:eastAsia="仿宋_GB2312"/>
                <w:color w:val="222222"/>
                <w:sz w:val="28"/>
                <w:szCs w:val="28"/>
              </w:rPr>
            </w:pPr>
            <w:r>
              <w:rPr>
                <w:rFonts w:hint="eastAsia" w:ascii="仿宋_GB2312" w:eastAsia="仿宋_GB2312"/>
                <w:color w:val="222222"/>
                <w:sz w:val="28"/>
                <w:szCs w:val="28"/>
              </w:rPr>
              <w:t>我局充分履行职责职能,严格按财经法规及制度使用、管理资金,成效明显,主要体现在以下几个方面：</w:t>
            </w:r>
          </w:p>
          <w:p>
            <w:pPr>
              <w:pStyle w:val="5"/>
              <w:shd w:val="clear" w:color="auto" w:fill="FFFFFF"/>
              <w:spacing w:before="0" w:beforeAutospacing="0" w:after="0" w:afterAutospacing="0" w:line="360" w:lineRule="exact"/>
              <w:ind w:firstLine="480"/>
              <w:rPr>
                <w:rFonts w:hint="eastAsia" w:ascii="仿宋_GB2312" w:eastAsia="仿宋_GB2312"/>
                <w:color w:val="222222"/>
                <w:sz w:val="28"/>
                <w:szCs w:val="28"/>
              </w:rPr>
            </w:pPr>
            <w:r>
              <w:rPr>
                <w:rFonts w:hint="eastAsia" w:ascii="仿宋_GB2312" w:eastAsia="仿宋_GB2312"/>
                <w:color w:val="222222"/>
                <w:sz w:val="28"/>
                <w:szCs w:val="28"/>
              </w:rPr>
              <w:t>1、狠抓资金使用效益。表现在:一是保障了干部职工工资,津补贴的及时足额发放,没有出现拖欠工资现象；二是保障了单位的正常运转,各项工作开展顺利。三是</w:t>
            </w:r>
            <w:r>
              <w:rPr>
                <w:rFonts w:hint="eastAsia" w:ascii="仿宋_GB2312" w:eastAsia="仿宋_GB2312"/>
                <w:color w:val="222222"/>
                <w:sz w:val="28"/>
                <w:szCs w:val="28"/>
                <w:lang w:val="en-US" w:eastAsia="zh-CN"/>
              </w:rPr>
              <w:t>严格执行财经纪律，</w:t>
            </w:r>
            <w:r>
              <w:rPr>
                <w:rFonts w:hint="eastAsia" w:ascii="仿宋_GB2312" w:eastAsia="仿宋_GB2312"/>
                <w:color w:val="222222"/>
                <w:sz w:val="28"/>
                <w:szCs w:val="28"/>
              </w:rPr>
              <w:t>资金使用无虚列支出及随意使用现象。</w:t>
            </w:r>
          </w:p>
          <w:p>
            <w:pPr>
              <w:pStyle w:val="5"/>
              <w:shd w:val="clear" w:color="auto" w:fill="FFFFFF"/>
              <w:spacing w:before="0" w:beforeAutospacing="0" w:after="0" w:afterAutospacing="0" w:line="360" w:lineRule="exact"/>
              <w:ind w:firstLine="480"/>
              <w:rPr>
                <w:rFonts w:hint="eastAsia" w:ascii="仿宋_GB2312" w:eastAsia="仿宋_GB2312"/>
                <w:color w:val="222222"/>
                <w:sz w:val="28"/>
                <w:szCs w:val="28"/>
              </w:rPr>
            </w:pPr>
            <w:r>
              <w:rPr>
                <w:rFonts w:hint="eastAsia" w:ascii="仿宋_GB2312" w:eastAsia="仿宋_GB2312"/>
                <w:color w:val="222222"/>
                <w:sz w:val="28"/>
                <w:szCs w:val="28"/>
              </w:rPr>
              <w:t>2、资金使用社会效益好。圆满完成全年工作任务。</w:t>
            </w:r>
          </w:p>
          <w:p>
            <w:pPr>
              <w:pStyle w:val="5"/>
              <w:shd w:val="clear" w:color="auto" w:fill="FFFFFF"/>
              <w:spacing w:before="0" w:beforeAutospacing="0" w:after="0" w:afterAutospacing="0" w:line="360" w:lineRule="exact"/>
              <w:ind w:firstLine="480"/>
              <w:rPr>
                <w:rFonts w:hint="eastAsia" w:ascii="仿宋_GB2312" w:eastAsia="仿宋_GB2312"/>
                <w:color w:val="222222"/>
                <w:sz w:val="28"/>
                <w:szCs w:val="28"/>
              </w:rPr>
            </w:pPr>
            <w:r>
              <w:rPr>
                <w:rFonts w:hint="eastAsia" w:ascii="仿宋_GB2312" w:eastAsia="仿宋_GB2312"/>
                <w:color w:val="222222"/>
                <w:sz w:val="28"/>
                <w:szCs w:val="28"/>
              </w:rPr>
              <w:t>四、存在的主要问题</w:t>
            </w:r>
          </w:p>
          <w:p>
            <w:pPr>
              <w:pStyle w:val="5"/>
              <w:shd w:val="clear" w:color="auto" w:fill="FFFFFF"/>
              <w:spacing w:before="0" w:beforeAutospacing="0" w:after="0" w:afterAutospacing="0" w:line="360" w:lineRule="exact"/>
              <w:ind w:firstLine="480"/>
              <w:rPr>
                <w:rFonts w:hint="eastAsia" w:ascii="仿宋_GB2312" w:eastAsia="仿宋_GB2312"/>
                <w:color w:val="222222"/>
                <w:sz w:val="28"/>
                <w:szCs w:val="28"/>
              </w:rPr>
            </w:pPr>
            <w:r>
              <w:rPr>
                <w:rFonts w:hint="eastAsia" w:ascii="仿宋_GB2312" w:eastAsia="仿宋_GB2312"/>
                <w:color w:val="222222"/>
                <w:sz w:val="28"/>
                <w:szCs w:val="28"/>
              </w:rPr>
              <w:t>存在资金交叉使用现象，未对口使用。</w:t>
            </w:r>
          </w:p>
          <w:p>
            <w:pPr>
              <w:rPr>
                <w:rFonts w:eastAsia="楷体_GB2312"/>
                <w:bCs/>
                <w:sz w:val="28"/>
                <w:szCs w:val="28"/>
              </w:rPr>
            </w:pPr>
          </w:p>
        </w:tc>
      </w:tr>
    </w:tbl>
    <w:p>
      <w:pPr>
        <w:spacing w:line="348" w:lineRule="auto"/>
        <w:rPr>
          <w:rFonts w:eastAsia="楷体_GB2312"/>
          <w:bCs/>
          <w:sz w:val="28"/>
          <w:szCs w:val="28"/>
        </w:rPr>
      </w:pPr>
    </w:p>
    <w:p>
      <w:pPr>
        <w:rPr>
          <w:rFonts w:hint="eastAsia" w:ascii="黑体" w:hAnsi="黑体" w:eastAsia="黑体"/>
          <w:sz w:val="32"/>
          <w:szCs w:val="32"/>
        </w:rPr>
      </w:pPr>
      <w:r>
        <w:rPr>
          <w:rFonts w:eastAsia="楷体_GB2312"/>
          <w:bCs/>
          <w:sz w:val="28"/>
          <w:szCs w:val="28"/>
        </w:rPr>
        <w:br w:type="page"/>
      </w:r>
    </w:p>
    <w:p>
      <w:pPr>
        <w:spacing w:line="120" w:lineRule="auto"/>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wBefore w:w="0" w:type="dxa"/>
          <w:wAfter w:w="0" w:type="dxa"/>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wBefore w:w="0" w:type="dxa"/>
          <w:wAfter w:w="0" w:type="dxa"/>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wBefore w:w="0" w:type="dxa"/>
          <w:wAfter w:w="0" w:type="dxa"/>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wBefore w:w="0" w:type="dxa"/>
          <w:wAfter w:w="0" w:type="dxa"/>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wBefore w:w="0" w:type="dxa"/>
          <w:wAfter w:w="0" w:type="dxa"/>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wBefore w:w="0" w:type="dxa"/>
          <w:wAfter w:w="0" w:type="dxa"/>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wBefore w:w="0" w:type="dxa"/>
          <w:wAfter w:w="0" w:type="dxa"/>
          <w:trHeight w:val="7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wBefore w:w="0" w:type="dxa"/>
          <w:wAfter w:w="0" w:type="dxa"/>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wBefore w:w="0" w:type="dxa"/>
          <w:wAfter w:w="0" w:type="dxa"/>
          <w:trHeight w:val="11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wBefore w:w="0" w:type="dxa"/>
          <w:wAfter w:w="0" w:type="dxa"/>
          <w:trHeight w:val="169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wBefore w:w="0" w:type="dxa"/>
          <w:wAfter w:w="0" w:type="dxa"/>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wBefore w:w="0" w:type="dxa"/>
          <w:wAfter w:w="0" w:type="dxa"/>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wBefore w:w="0" w:type="dxa"/>
          <w:wAfter w:w="0" w:type="dxa"/>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关于印发岳阳市云溪区2018年度综合绩效考核工作实施方案的通知》（岳云发〔2018〕10号）考核内容设置。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wBefore w:w="0" w:type="dxa"/>
          <w:wAfter w:w="0" w:type="dxa"/>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90</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adjustRightInd w:val="0"/>
        <w:snapToGrid w:val="0"/>
        <w:spacing w:line="200" w:lineRule="exact"/>
        <w:contextualSpacing/>
        <w:jc w:val="right"/>
        <w:rPr>
          <w:rFonts w:hint="eastAsia" w:eastAsia="仿宋_GB2312"/>
          <w:sz w:val="32"/>
        </w:rPr>
      </w:pPr>
      <w:bookmarkStart w:id="0" w:name="_GoBack"/>
      <w:bookmarkEnd w:id="0"/>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lang/>
      </w:rPr>
      <w:t>2</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lang/>
      </w:rPr>
      <w:t>37</w:t>
    </w:r>
    <w:r>
      <w:rPr>
        <w:sz w:val="24"/>
        <w:szCs w:val="24"/>
      </w:rPr>
      <w:fldChar w:fldCharType="end"/>
    </w:r>
    <w:r>
      <w:rPr>
        <w:rStyle w:val="9"/>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lang/>
      </w:rPr>
      <w:t>34</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F0"/>
    <w:rsid w:val="00017F19"/>
    <w:rsid w:val="000322FE"/>
    <w:rsid w:val="00083A84"/>
    <w:rsid w:val="00095FBA"/>
    <w:rsid w:val="000975B6"/>
    <w:rsid w:val="000A7A67"/>
    <w:rsid w:val="000B0058"/>
    <w:rsid w:val="000B0F8D"/>
    <w:rsid w:val="000F5FF6"/>
    <w:rsid w:val="001A521A"/>
    <w:rsid w:val="001B7CED"/>
    <w:rsid w:val="00217BDF"/>
    <w:rsid w:val="00245DD6"/>
    <w:rsid w:val="00253BA0"/>
    <w:rsid w:val="002841F0"/>
    <w:rsid w:val="002A26C5"/>
    <w:rsid w:val="002B0015"/>
    <w:rsid w:val="002C29C8"/>
    <w:rsid w:val="002D39E9"/>
    <w:rsid w:val="002E2754"/>
    <w:rsid w:val="00323747"/>
    <w:rsid w:val="00381C01"/>
    <w:rsid w:val="003C18A0"/>
    <w:rsid w:val="00402332"/>
    <w:rsid w:val="00403204"/>
    <w:rsid w:val="0040466A"/>
    <w:rsid w:val="00424CB9"/>
    <w:rsid w:val="00475C30"/>
    <w:rsid w:val="004765CE"/>
    <w:rsid w:val="00477D46"/>
    <w:rsid w:val="004A4064"/>
    <w:rsid w:val="004D6EF5"/>
    <w:rsid w:val="0057564F"/>
    <w:rsid w:val="00583D39"/>
    <w:rsid w:val="005938EF"/>
    <w:rsid w:val="005C3239"/>
    <w:rsid w:val="005C6C45"/>
    <w:rsid w:val="005E19CE"/>
    <w:rsid w:val="00605269"/>
    <w:rsid w:val="00625AFB"/>
    <w:rsid w:val="00641ABF"/>
    <w:rsid w:val="006622CD"/>
    <w:rsid w:val="00680C7E"/>
    <w:rsid w:val="006D40DF"/>
    <w:rsid w:val="00736F10"/>
    <w:rsid w:val="0074439A"/>
    <w:rsid w:val="00780DF4"/>
    <w:rsid w:val="007B0791"/>
    <w:rsid w:val="007C323E"/>
    <w:rsid w:val="007D6ADE"/>
    <w:rsid w:val="007D6C40"/>
    <w:rsid w:val="007E5E22"/>
    <w:rsid w:val="007F5622"/>
    <w:rsid w:val="0080259B"/>
    <w:rsid w:val="008073F2"/>
    <w:rsid w:val="008469D8"/>
    <w:rsid w:val="00852EBC"/>
    <w:rsid w:val="008556AF"/>
    <w:rsid w:val="008A783C"/>
    <w:rsid w:val="008F2FB6"/>
    <w:rsid w:val="00953EA1"/>
    <w:rsid w:val="00960AAE"/>
    <w:rsid w:val="009E65BD"/>
    <w:rsid w:val="009E6E31"/>
    <w:rsid w:val="00A02C2D"/>
    <w:rsid w:val="00A161B1"/>
    <w:rsid w:val="00A44677"/>
    <w:rsid w:val="00A60759"/>
    <w:rsid w:val="00A62C5E"/>
    <w:rsid w:val="00A64A64"/>
    <w:rsid w:val="00A82A31"/>
    <w:rsid w:val="00AA29CB"/>
    <w:rsid w:val="00AC0196"/>
    <w:rsid w:val="00AD2412"/>
    <w:rsid w:val="00B00A50"/>
    <w:rsid w:val="00B065A7"/>
    <w:rsid w:val="00B07287"/>
    <w:rsid w:val="00B52021"/>
    <w:rsid w:val="00B92F93"/>
    <w:rsid w:val="00B95CAE"/>
    <w:rsid w:val="00BA3499"/>
    <w:rsid w:val="00BE1AEE"/>
    <w:rsid w:val="00BE62A1"/>
    <w:rsid w:val="00C44F64"/>
    <w:rsid w:val="00CA40F2"/>
    <w:rsid w:val="00CD7AF8"/>
    <w:rsid w:val="00D04CC5"/>
    <w:rsid w:val="00D1035F"/>
    <w:rsid w:val="00D51716"/>
    <w:rsid w:val="00D6084C"/>
    <w:rsid w:val="00E315F0"/>
    <w:rsid w:val="00E3574A"/>
    <w:rsid w:val="00E67A42"/>
    <w:rsid w:val="00EA0819"/>
    <w:rsid w:val="00EA6EB0"/>
    <w:rsid w:val="00EA79DC"/>
    <w:rsid w:val="00ED5EAE"/>
    <w:rsid w:val="00ED6520"/>
    <w:rsid w:val="00EF30CB"/>
    <w:rsid w:val="00EF7C52"/>
    <w:rsid w:val="00F32610"/>
    <w:rsid w:val="00F46049"/>
    <w:rsid w:val="00F862F4"/>
    <w:rsid w:val="00FC2E82"/>
    <w:rsid w:val="016E0C27"/>
    <w:rsid w:val="01E46D33"/>
    <w:rsid w:val="028E7519"/>
    <w:rsid w:val="029418F9"/>
    <w:rsid w:val="03312FA5"/>
    <w:rsid w:val="034229C1"/>
    <w:rsid w:val="056B0B30"/>
    <w:rsid w:val="05A54A2B"/>
    <w:rsid w:val="062E2ADC"/>
    <w:rsid w:val="06F95FF9"/>
    <w:rsid w:val="07480E05"/>
    <w:rsid w:val="07E278CA"/>
    <w:rsid w:val="08275445"/>
    <w:rsid w:val="0858423C"/>
    <w:rsid w:val="08904EE5"/>
    <w:rsid w:val="0AA07F0D"/>
    <w:rsid w:val="0B7C1CDB"/>
    <w:rsid w:val="0CAD5A32"/>
    <w:rsid w:val="0CE93D00"/>
    <w:rsid w:val="0DDC3323"/>
    <w:rsid w:val="0E270E6E"/>
    <w:rsid w:val="0E3802EA"/>
    <w:rsid w:val="0F435C3F"/>
    <w:rsid w:val="0FE52EF1"/>
    <w:rsid w:val="10036608"/>
    <w:rsid w:val="1012241A"/>
    <w:rsid w:val="101F681B"/>
    <w:rsid w:val="102B6F19"/>
    <w:rsid w:val="10792C66"/>
    <w:rsid w:val="11E41C63"/>
    <w:rsid w:val="11F33802"/>
    <w:rsid w:val="12BF1E72"/>
    <w:rsid w:val="12C94E1D"/>
    <w:rsid w:val="12F66175"/>
    <w:rsid w:val="13271272"/>
    <w:rsid w:val="13AB1779"/>
    <w:rsid w:val="14165BA0"/>
    <w:rsid w:val="147D6BDD"/>
    <w:rsid w:val="14BB36A5"/>
    <w:rsid w:val="15C4429B"/>
    <w:rsid w:val="15E66FF7"/>
    <w:rsid w:val="16A263C2"/>
    <w:rsid w:val="16F83B8C"/>
    <w:rsid w:val="177C1BE6"/>
    <w:rsid w:val="17975995"/>
    <w:rsid w:val="18A01C0A"/>
    <w:rsid w:val="19EB06CD"/>
    <w:rsid w:val="1A8B4866"/>
    <w:rsid w:val="1AA80112"/>
    <w:rsid w:val="1C307184"/>
    <w:rsid w:val="1C845B58"/>
    <w:rsid w:val="1D2A1481"/>
    <w:rsid w:val="1D3F3C7C"/>
    <w:rsid w:val="1DFF6547"/>
    <w:rsid w:val="1E0D074B"/>
    <w:rsid w:val="1EE416FB"/>
    <w:rsid w:val="1F094269"/>
    <w:rsid w:val="1F20225E"/>
    <w:rsid w:val="208536D3"/>
    <w:rsid w:val="212435CF"/>
    <w:rsid w:val="21DF1541"/>
    <w:rsid w:val="2222738F"/>
    <w:rsid w:val="22897DA2"/>
    <w:rsid w:val="228A7DDC"/>
    <w:rsid w:val="23593A8D"/>
    <w:rsid w:val="243D02D8"/>
    <w:rsid w:val="264A5E67"/>
    <w:rsid w:val="266B0573"/>
    <w:rsid w:val="269A0FD3"/>
    <w:rsid w:val="277056DD"/>
    <w:rsid w:val="27995F60"/>
    <w:rsid w:val="28025039"/>
    <w:rsid w:val="297C6320"/>
    <w:rsid w:val="2A005D37"/>
    <w:rsid w:val="2A4933AC"/>
    <w:rsid w:val="2A6A3142"/>
    <w:rsid w:val="2B240EE6"/>
    <w:rsid w:val="2B2E0A5A"/>
    <w:rsid w:val="2EF04F32"/>
    <w:rsid w:val="2F7D7F41"/>
    <w:rsid w:val="304647E5"/>
    <w:rsid w:val="30656833"/>
    <w:rsid w:val="306C1463"/>
    <w:rsid w:val="30720C99"/>
    <w:rsid w:val="32026D9C"/>
    <w:rsid w:val="32B41BE1"/>
    <w:rsid w:val="32C9470B"/>
    <w:rsid w:val="330E08EF"/>
    <w:rsid w:val="33471816"/>
    <w:rsid w:val="33645DFE"/>
    <w:rsid w:val="33AC7705"/>
    <w:rsid w:val="33DA54F0"/>
    <w:rsid w:val="34326629"/>
    <w:rsid w:val="3436555C"/>
    <w:rsid w:val="34D74F44"/>
    <w:rsid w:val="3521751B"/>
    <w:rsid w:val="35AF2B08"/>
    <w:rsid w:val="35DE6650"/>
    <w:rsid w:val="373F6673"/>
    <w:rsid w:val="375D2C64"/>
    <w:rsid w:val="3968465A"/>
    <w:rsid w:val="3A3E1892"/>
    <w:rsid w:val="3A961FC4"/>
    <w:rsid w:val="3AB66084"/>
    <w:rsid w:val="3ACD0224"/>
    <w:rsid w:val="3AE90FAD"/>
    <w:rsid w:val="3C686097"/>
    <w:rsid w:val="3CAA7A33"/>
    <w:rsid w:val="3D3918BA"/>
    <w:rsid w:val="3E582318"/>
    <w:rsid w:val="3F471A01"/>
    <w:rsid w:val="415B23B1"/>
    <w:rsid w:val="421F6412"/>
    <w:rsid w:val="42265FED"/>
    <w:rsid w:val="423927F0"/>
    <w:rsid w:val="42B53D78"/>
    <w:rsid w:val="436B0F98"/>
    <w:rsid w:val="44695F79"/>
    <w:rsid w:val="44753D0C"/>
    <w:rsid w:val="44AF1E56"/>
    <w:rsid w:val="45945099"/>
    <w:rsid w:val="45D07E8C"/>
    <w:rsid w:val="46A50BDF"/>
    <w:rsid w:val="46A6540D"/>
    <w:rsid w:val="46FE0A76"/>
    <w:rsid w:val="47D90785"/>
    <w:rsid w:val="49581B60"/>
    <w:rsid w:val="49B02709"/>
    <w:rsid w:val="4A4549BE"/>
    <w:rsid w:val="4B1B5657"/>
    <w:rsid w:val="4B5930F3"/>
    <w:rsid w:val="4BA708DA"/>
    <w:rsid w:val="4C12528C"/>
    <w:rsid w:val="4D2007CB"/>
    <w:rsid w:val="4D566D5D"/>
    <w:rsid w:val="4DFC0F09"/>
    <w:rsid w:val="4E123A85"/>
    <w:rsid w:val="4E36032C"/>
    <w:rsid w:val="4E391E79"/>
    <w:rsid w:val="4F3B6524"/>
    <w:rsid w:val="4F684946"/>
    <w:rsid w:val="504B61B3"/>
    <w:rsid w:val="50585B66"/>
    <w:rsid w:val="506B2B4D"/>
    <w:rsid w:val="515D6038"/>
    <w:rsid w:val="517E0187"/>
    <w:rsid w:val="527542E7"/>
    <w:rsid w:val="53C64F3E"/>
    <w:rsid w:val="53F15728"/>
    <w:rsid w:val="547942B0"/>
    <w:rsid w:val="54C56CFF"/>
    <w:rsid w:val="54F05172"/>
    <w:rsid w:val="55547B5F"/>
    <w:rsid w:val="5579706C"/>
    <w:rsid w:val="567B09C5"/>
    <w:rsid w:val="572E76B5"/>
    <w:rsid w:val="579378DD"/>
    <w:rsid w:val="5A9B1AEC"/>
    <w:rsid w:val="5A9C623F"/>
    <w:rsid w:val="5AFB5530"/>
    <w:rsid w:val="5AFD5BE3"/>
    <w:rsid w:val="5B565890"/>
    <w:rsid w:val="5DA55943"/>
    <w:rsid w:val="5DAD6008"/>
    <w:rsid w:val="5E347319"/>
    <w:rsid w:val="5F0651FE"/>
    <w:rsid w:val="5F464EFA"/>
    <w:rsid w:val="5F87465B"/>
    <w:rsid w:val="607F5BB3"/>
    <w:rsid w:val="61A32153"/>
    <w:rsid w:val="62260A44"/>
    <w:rsid w:val="627A1C5F"/>
    <w:rsid w:val="62821148"/>
    <w:rsid w:val="645D4C87"/>
    <w:rsid w:val="64D133FE"/>
    <w:rsid w:val="64D13AEE"/>
    <w:rsid w:val="6549774F"/>
    <w:rsid w:val="660516F0"/>
    <w:rsid w:val="66BE1197"/>
    <w:rsid w:val="66CC5FFA"/>
    <w:rsid w:val="678D77D7"/>
    <w:rsid w:val="687B25AC"/>
    <w:rsid w:val="69425C9C"/>
    <w:rsid w:val="6A727FBB"/>
    <w:rsid w:val="6C3C4B05"/>
    <w:rsid w:val="6CB67B70"/>
    <w:rsid w:val="6CBD5C34"/>
    <w:rsid w:val="6D0C3F5C"/>
    <w:rsid w:val="6D0E6419"/>
    <w:rsid w:val="6D7A6C9D"/>
    <w:rsid w:val="6D8C252A"/>
    <w:rsid w:val="6DAB5F89"/>
    <w:rsid w:val="6EA81681"/>
    <w:rsid w:val="6EAF7916"/>
    <w:rsid w:val="6F3B7F1C"/>
    <w:rsid w:val="6FEF756B"/>
    <w:rsid w:val="6FF27194"/>
    <w:rsid w:val="6FF3686F"/>
    <w:rsid w:val="724D4D4F"/>
    <w:rsid w:val="734C133C"/>
    <w:rsid w:val="73863634"/>
    <w:rsid w:val="73EA114C"/>
    <w:rsid w:val="74DB42DE"/>
    <w:rsid w:val="759C1992"/>
    <w:rsid w:val="77E03A5B"/>
    <w:rsid w:val="782F2538"/>
    <w:rsid w:val="786A5F98"/>
    <w:rsid w:val="78E008E2"/>
    <w:rsid w:val="78FD1714"/>
    <w:rsid w:val="7A6B3FE7"/>
    <w:rsid w:val="7ABE79F8"/>
    <w:rsid w:val="7B2F03D4"/>
    <w:rsid w:val="7B6A6A4B"/>
    <w:rsid w:val="7BDA25DA"/>
    <w:rsid w:val="7C732E3F"/>
    <w:rsid w:val="7DAD549A"/>
    <w:rsid w:val="7EDB2D96"/>
    <w:rsid w:val="7F7B6B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6"/>
      <w:tblCellMar>
        <w:top w:w="0" w:type="dxa"/>
        <w:left w:w="108" w:type="dxa"/>
        <w:bottom w:w="0" w:type="dxa"/>
        <w:right w:w="108" w:type="dxa"/>
      </w:tblCellMar>
    </w:tblPr>
  </w:style>
  <w:style w:type="paragraph" w:styleId="2">
    <w:name w:val="Body Text Indent 2"/>
    <w:basedOn w:val="1"/>
    <w:unhideWhenUsed/>
    <w:uiPriority w:val="0"/>
    <w:pPr>
      <w:ind w:firstLine="588" w:firstLineChars="200"/>
    </w:pPr>
    <w:rPr>
      <w:rFonts w:ascii="仿宋_GB2312" w:hAnsi="Calibri" w:eastAsia="仿宋_GB2312"/>
      <w:sz w:val="32"/>
    </w:rPr>
  </w:style>
  <w:style w:type="paragraph" w:styleId="3">
    <w:name w:val="footer"/>
    <w:basedOn w:val="1"/>
    <w:link w:val="11"/>
    <w:uiPriority w:val="0"/>
    <w:pPr>
      <w:tabs>
        <w:tab w:val="center" w:pos="4153"/>
        <w:tab w:val="right" w:pos="8306"/>
      </w:tabs>
      <w:snapToGrid w:val="0"/>
      <w:jc w:val="left"/>
    </w:pPr>
    <w:rPr>
      <w:kern w:val="0"/>
      <w:sz w:val="18"/>
      <w:szCs w:val="18"/>
    </w:rPr>
  </w:style>
  <w:style w:type="paragraph" w:styleId="4">
    <w:name w:val="header"/>
    <w:basedOn w:val="1"/>
    <w:uiPriority w:val="0"/>
    <w:pP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uiPriority w:val="0"/>
  </w:style>
  <w:style w:type="character" w:styleId="10">
    <w:name w:val="Hyperlink"/>
    <w:basedOn w:val="8"/>
    <w:unhideWhenUsed/>
    <w:uiPriority w:val="0"/>
    <w:rPr>
      <w:color w:val="0000FF"/>
      <w:u w:val="single"/>
    </w:rPr>
  </w:style>
  <w:style w:type="character" w:customStyle="1" w:styleId="11">
    <w:name w:val="页脚 Char"/>
    <w:link w:val="3"/>
    <w:uiPriority w:val="0"/>
    <w:rPr>
      <w:rFonts w:eastAsia="宋体"/>
      <w:sz w:val="18"/>
      <w:szCs w:val="18"/>
      <w:lang w:bidi="ar-SA"/>
    </w:rPr>
  </w:style>
  <w:style w:type="character" w:customStyle="1" w:styleId="12">
    <w:name w:val="标题 3 Char Char"/>
    <w:uiPriority w:val="0"/>
    <w:rPr>
      <w:rFonts w:eastAsia="楷体_GB2312"/>
      <w:b/>
      <w:kern w:val="2"/>
      <w:sz w:val="32"/>
      <w:szCs w:val="24"/>
      <w:lang w:val="en-US" w:eastAsia="zh-CN" w:bidi="ar-SA"/>
    </w:rPr>
  </w:style>
  <w:style w:type="character" w:customStyle="1" w:styleId="13">
    <w:name w:val="font31"/>
    <w:basedOn w:val="8"/>
    <w:uiPriority w:val="0"/>
    <w:rPr>
      <w:rFonts w:hint="eastAsia" w:ascii="宋体" w:hAnsi="宋体" w:eastAsia="宋体" w:cs="宋体"/>
      <w:b/>
      <w:color w:val="000000"/>
      <w:sz w:val="24"/>
      <w:szCs w:val="24"/>
      <w:u w:val="none"/>
    </w:rPr>
  </w:style>
  <w:style w:type="character" w:customStyle="1" w:styleId="14">
    <w:name w:val="font01"/>
    <w:basedOn w:val="8"/>
    <w:uiPriority w:val="0"/>
    <w:rPr>
      <w:rFonts w:ascii="Arial" w:hAnsi="Arial" w:cs="Arial"/>
      <w:b/>
      <w:color w:val="000000"/>
      <w:sz w:val="24"/>
      <w:szCs w:val="24"/>
      <w:u w:val="none"/>
    </w:rPr>
  </w:style>
  <w:style w:type="paragraph" w:customStyle="1" w:styleId="15">
    <w:name w:val="Char Char Char Char Char Char Char Char Char Char Char Char1 Char Char Char Char"/>
    <w:basedOn w:val="1"/>
    <w:uiPriority w:val="0"/>
    <w:pPr>
      <w:numPr>
        <w:ilvl w:val="0"/>
        <w:numId w:val="1"/>
      </w:numPr>
      <w:tabs>
        <w:tab w:val="left" w:pos="720"/>
      </w:tabs>
    </w:pPr>
    <w:rPr>
      <w:szCs w:val="20"/>
    </w:rPr>
  </w:style>
  <w:style w:type="paragraph" w:customStyle="1" w:styleId="16">
    <w:name w:val=" Char"/>
    <w:basedOn w:val="1"/>
    <w:uiPriority w:val="0"/>
    <w:pPr>
      <w:autoSpaceDE w:val="0"/>
      <w:autoSpaceDN w:val="0"/>
      <w:adjustRightInd w:val="0"/>
    </w:pPr>
    <w:rPr>
      <w:rFonts w:ascii="宋体" w:cs="宋体"/>
      <w:kern w:val="0"/>
      <w:sz w:val="20"/>
      <w:szCs w:val="20"/>
      <w:lang w:val="zh-CN"/>
    </w:rPr>
  </w:style>
  <w:style w:type="paragraph" w:customStyle="1" w:styleId="17">
    <w:name w:val=" Char1"/>
    <w:basedOn w:val="1"/>
    <w:uiPriority w:val="0"/>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37</Pages>
  <Words>2617</Words>
  <Characters>14918</Characters>
  <Lines>124</Lines>
  <Paragraphs>34</Paragraphs>
  <TotalTime>27</TotalTime>
  <ScaleCrop>false</ScaleCrop>
  <LinksUpToDate>false</LinksUpToDate>
  <CharactersWithSpaces>17501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2019-04-18T01:44:00Z</dcterms:created>
  <dc:creator>吴川 10.105.113.190</dc:creator>
  <cp:lastModifiedBy>HD</cp:lastModifiedBy>
  <cp:lastPrinted>2021-11-02T07:03:09Z</cp:lastPrinted>
  <dcterms:modified xsi:type="dcterms:W3CDTF">2021-11-02T07:29:24Z</dcterms:modified>
  <dc:title>岳阳市财政局文件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3D131DE7A05C4889B253A6069AC3B226</vt:lpwstr>
  </property>
</Properties>
</file>