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岳阳市云溪区静脉产业园管理中心                                </w:t>
      </w:r>
    </w:p>
    <w:p>
      <w:pPr>
        <w:spacing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903751</w:t>
      </w:r>
      <w:r>
        <w:rPr>
          <w:rFonts w:hint="eastAsia" w:eastAsia="仿宋_GB2312"/>
          <w:spacing w:val="20"/>
          <w:sz w:val="32"/>
          <w:szCs w:val="32"/>
          <w:u w:val="single"/>
        </w:rPr>
        <w:t xml:space="preserve">                      </w:t>
      </w:r>
    </w:p>
    <w:p>
      <w:pPr>
        <w:spacing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8</w:t>
      </w:r>
      <w:r>
        <w:rPr>
          <w:rFonts w:hint="eastAsia" w:eastAsia="仿宋_GB2312"/>
          <w:sz w:val="32"/>
        </w:rPr>
        <w:t xml:space="preserve"> 月  </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1122"/>
        <w:gridCol w:w="482"/>
        <w:gridCol w:w="139"/>
        <w:gridCol w:w="129"/>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樊汝娟</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13786089730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人</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统筹园区经济社会等各项事业发展。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任务1：支持配合市交投完成厨余垃圾处理项目前期及征地拆迁工作。</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任务2：加强园区企业安全环保指导和监管，确保园区正常生产。</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任务3：配合陆城镇完成还建安置小区二期三期建设任务。</w:t>
            </w:r>
          </w:p>
          <w:p>
            <w:pPr>
              <w:numPr>
                <w:ilvl w:val="0"/>
                <w:numId w:val="0"/>
              </w:numPr>
              <w:autoSpaceDN w:val="0"/>
              <w:spacing w:line="320" w:lineRule="exact"/>
              <w:jc w:val="left"/>
              <w:textAlignment w:val="center"/>
              <w:rPr>
                <w:rFonts w:hint="eastAsia" w:ascii="仿宋_GB2312" w:hAnsi="仿宋_GB2312" w:eastAsia="仿宋" w:cs="仿宋_GB2312"/>
                <w:color w:val="000000"/>
                <w:sz w:val="24"/>
                <w:lang w:val="en-US" w:eastAsia="zh-CN"/>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做好园区项目建设协调服务，配合镇、村妥善调处矛盾纠纷，确保当地社会稳定</w:t>
            </w:r>
            <w:r>
              <w:rPr>
                <w:rFonts w:hint="eastAsia" w:ascii="仿宋" w:hAnsi="仿宋" w:eastAsia="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厨余垃圾处理项目</w:t>
            </w:r>
            <w:r>
              <w:rPr>
                <w:rFonts w:hint="eastAsia" w:ascii="仿宋_GB2312" w:hAnsi="仿宋_GB2312" w:eastAsia="仿宋_GB2312" w:cs="仿宋_GB2312"/>
                <w:color w:val="000000"/>
                <w:sz w:val="24"/>
                <w:lang w:val="en-US" w:eastAsia="zh-CN"/>
              </w:rPr>
              <w:t>10月前已取得项目用地批单，目前正在组织场地平整，启动围墙、道路等配套设施建设</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2.指导督促园区企业落实安全环保主体责任，并配合职能部门加强监管，全年未发生安全环保事故。</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3.静脉产业园还建安置小区二期三期建成。</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4.配合陆城镇做好矛盾纠纷排查和化解工作，项目所在地大局和谐稳定。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89.35</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89.35</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58"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62"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81"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22"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5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12"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0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22"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5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12"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108.38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108.38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89.44</w:t>
            </w:r>
          </w:p>
        </w:tc>
        <w:tc>
          <w:tcPr>
            <w:tcW w:w="1901"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18.94</w:t>
            </w:r>
          </w:p>
        </w:tc>
        <w:tc>
          <w:tcPr>
            <w:tcW w:w="1122"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5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81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108.38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108.38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89.44</w:t>
            </w:r>
          </w:p>
        </w:tc>
        <w:tc>
          <w:tcPr>
            <w:tcW w:w="1901"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18.94</w:t>
            </w:r>
          </w:p>
        </w:tc>
        <w:tc>
          <w:tcPr>
            <w:tcW w:w="1122"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5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81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0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90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901"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完成厨余垃圾处理项目征拆</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完成还建安置小区二三期建设。</w:t>
            </w:r>
          </w:p>
        </w:tc>
        <w:tc>
          <w:tcPr>
            <w:tcW w:w="4585" w:type="dxa"/>
            <w:gridSpan w:val="8"/>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厨余垃圾处理项目征拆工作全面完成，</w:t>
            </w:r>
            <w:r>
              <w:rPr>
                <w:rFonts w:hint="eastAsia" w:ascii="仿宋_GB2312" w:hAnsi="仿宋_GB2312" w:eastAsia="仿宋_GB2312" w:cs="仿宋_GB2312"/>
                <w:color w:val="000000"/>
                <w:sz w:val="24"/>
                <w:lang w:val="en-US" w:eastAsia="zh-CN"/>
              </w:rPr>
              <w:t>10月取得用地批单；</w:t>
            </w:r>
          </w:p>
          <w:p>
            <w:p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还建安置小区二三期如期建成；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产出</w:t>
            </w:r>
            <w:r>
              <w:rPr>
                <w:rFonts w:hint="eastAsia" w:ascii="仿宋_GB2312" w:hAnsi="仿宋_GB2312" w:eastAsia="仿宋_GB2312" w:cs="仿宋_GB2312"/>
                <w:color w:val="000000"/>
                <w:sz w:val="24"/>
              </w:rPr>
              <w:t>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.垃圾焚烧发电和</w:t>
            </w:r>
            <w:r>
              <w:rPr>
                <w:rFonts w:hint="eastAsia" w:ascii="仿宋_GB2312" w:hAnsi="仿宋_GB2312" w:eastAsia="仿宋_GB2312" w:cs="仿宋_GB2312"/>
                <w:color w:val="000000"/>
                <w:sz w:val="24"/>
              </w:rPr>
              <w:t>医疗废物处置</w:t>
            </w:r>
            <w:r>
              <w:rPr>
                <w:rFonts w:hint="eastAsia" w:ascii="仿宋_GB2312" w:hAnsi="仿宋_GB2312" w:eastAsia="仿宋_GB2312" w:cs="仿宋_GB2312"/>
                <w:color w:val="000000"/>
                <w:sz w:val="24"/>
                <w:lang w:eastAsia="zh-CN"/>
              </w:rPr>
              <w:t>项目环保达标</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环保监测各项数据均达到设计标准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厨余垃圾处理项目</w:t>
            </w:r>
            <w:r>
              <w:rPr>
                <w:rFonts w:hint="eastAsia" w:ascii="仿宋_GB2312" w:hAnsi="仿宋_GB2312" w:eastAsia="仿宋_GB2312" w:cs="仿宋_GB2312"/>
                <w:color w:val="000000"/>
                <w:sz w:val="24"/>
              </w:rPr>
              <w:t>完成投资</w:t>
            </w:r>
            <w:r>
              <w:rPr>
                <w:rFonts w:hint="eastAsia" w:ascii="仿宋_GB2312" w:hAnsi="仿宋_GB2312" w:eastAsia="仿宋_GB2312" w:cs="仿宋_GB2312"/>
                <w:color w:val="000000"/>
                <w:sz w:val="24"/>
                <w:lang w:val="en-US" w:eastAsia="zh-CN"/>
              </w:rPr>
              <w:t>5000万</w:t>
            </w:r>
            <w:r>
              <w:rPr>
                <w:rFonts w:hint="eastAsia" w:ascii="仿宋_GB2312" w:hAnsi="仿宋_GB2312" w:eastAsia="仿宋_GB2312" w:cs="仿宋_GB2312"/>
                <w:color w:val="000000"/>
                <w:sz w:val="24"/>
              </w:rPr>
              <w:t>元</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厨余垃圾处理</w:t>
            </w:r>
            <w:r>
              <w:rPr>
                <w:rFonts w:hint="eastAsia" w:ascii="仿宋_GB2312" w:hAnsi="仿宋_GB2312" w:eastAsia="仿宋_GB2312" w:cs="仿宋_GB2312"/>
                <w:b w:val="0"/>
                <w:bCs/>
                <w:color w:val="000000"/>
                <w:sz w:val="24"/>
              </w:rPr>
              <w:t>项目完成</w:t>
            </w:r>
            <w:r>
              <w:rPr>
                <w:rFonts w:hint="eastAsia" w:ascii="仿宋_GB2312" w:hAnsi="仿宋_GB2312" w:eastAsia="仿宋_GB2312" w:cs="仿宋_GB2312"/>
                <w:b w:val="0"/>
                <w:bCs/>
                <w:color w:val="000000"/>
                <w:sz w:val="24"/>
                <w:lang w:eastAsia="zh-CN"/>
              </w:rPr>
              <w:t>征地</w:t>
            </w:r>
            <w:r>
              <w:rPr>
                <w:rFonts w:hint="eastAsia" w:ascii="仿宋_GB2312" w:hAnsi="仿宋_GB2312" w:eastAsia="仿宋_GB2312" w:cs="仿宋_GB2312"/>
                <w:b w:val="0"/>
                <w:bCs/>
                <w:color w:val="000000"/>
                <w:sz w:val="24"/>
                <w:lang w:val="en-US" w:eastAsia="zh-CN"/>
              </w:rPr>
              <w:t>70亩，征地及用地报批总费用超过5000万</w:t>
            </w:r>
            <w:r>
              <w:rPr>
                <w:rFonts w:hint="eastAsia" w:ascii="仿宋_GB2312" w:hAnsi="仿宋_GB2312" w:eastAsia="仿宋_GB2312" w:cs="仿宋_GB2312"/>
                <w:b w:val="0"/>
                <w:bCs/>
                <w:color w:val="00000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启动垃圾发电厂安全防护距离</w:t>
            </w:r>
            <w:r>
              <w:rPr>
                <w:rFonts w:hint="eastAsia" w:ascii="仿宋_GB2312" w:hAnsi="仿宋_GB2312" w:eastAsia="仿宋_GB2312" w:cs="仿宋_GB2312"/>
                <w:color w:val="000000"/>
                <w:sz w:val="24"/>
                <w:lang w:val="en-US" w:eastAsia="zh-CN"/>
              </w:rPr>
              <w:t>56栋房屋</w:t>
            </w:r>
            <w:r>
              <w:rPr>
                <w:rFonts w:hint="eastAsia" w:ascii="仿宋_GB2312" w:hAnsi="仿宋_GB2312" w:eastAsia="仿宋_GB2312" w:cs="仿宋_GB2312"/>
                <w:color w:val="000000"/>
                <w:sz w:val="24"/>
              </w:rPr>
              <w:t>征拆</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已拆除房屋</w:t>
            </w:r>
            <w:r>
              <w:rPr>
                <w:rFonts w:hint="eastAsia" w:ascii="仿宋_GB2312" w:hAnsi="仿宋_GB2312" w:eastAsia="仿宋_GB2312" w:cs="仿宋_GB2312"/>
                <w:b w:val="0"/>
                <w:bCs/>
                <w:color w:val="000000"/>
                <w:sz w:val="24"/>
                <w:lang w:val="en-US" w:eastAsia="zh-CN"/>
              </w:rPr>
              <w:t>39栋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指标1：保证群众在征地拆迁和项目建设过程中的合法利益</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2：杜绝群体性事件和安全环保责任事故</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严格落实征拆补偿政策标准，及时拨付征拆补偿资金，妥善安置群众，加大矛盾纠纷排查、化解和处置力度，全年未发生安全责任事故和群体性事件</w:t>
            </w:r>
            <w:r>
              <w:rPr>
                <w:rFonts w:hint="eastAsia" w:ascii="仿宋_GB2312" w:hAnsi="仿宋_GB2312" w:eastAsia="仿宋_GB2312" w:cs="仿宋_GB2312"/>
                <w:b w:val="0"/>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302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562"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刘初见</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302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区静脉产业园管理中心</w:t>
            </w:r>
          </w:p>
        </w:tc>
        <w:tc>
          <w:tcPr>
            <w:tcW w:w="1562"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张细斌</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302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区静脉产业园管理中心</w:t>
            </w:r>
          </w:p>
        </w:tc>
        <w:tc>
          <w:tcPr>
            <w:tcW w:w="1562"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刘祖保</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副主任</w:t>
            </w:r>
          </w:p>
        </w:tc>
        <w:tc>
          <w:tcPr>
            <w:tcW w:w="302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区静脉产业园管理中心</w:t>
            </w:r>
          </w:p>
        </w:tc>
        <w:tc>
          <w:tcPr>
            <w:tcW w:w="1562"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樊汝娟</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13786089730</w:t>
      </w: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zh-CN"/>
              </w:rPr>
              <w:t>岳阳市云溪区静脉产业园管理中心（简称区静脉产业园）</w:t>
            </w:r>
            <w:r>
              <w:rPr>
                <w:rFonts w:hint="eastAsia" w:ascii="仿宋_GB2312" w:hAnsi="仿宋_GB2312" w:eastAsia="仿宋_GB2312" w:cs="仿宋_GB2312"/>
                <w:bCs/>
                <w:sz w:val="28"/>
                <w:szCs w:val="28"/>
              </w:rPr>
              <w:t>是区政府工作部门，为正科级。</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zh-CN"/>
              </w:rPr>
              <w:t>区静脉产业园</w:t>
            </w:r>
            <w:r>
              <w:rPr>
                <w:rFonts w:hint="eastAsia" w:ascii="仿宋_GB2312" w:hAnsi="仿宋_GB2312" w:eastAsia="仿宋_GB2312" w:cs="仿宋_GB2312"/>
                <w:bCs/>
                <w:sz w:val="28"/>
                <w:szCs w:val="28"/>
              </w:rPr>
              <w:t>成立于2016年5月，单位职能是统筹静脉产业园经济社会等各项事业发展；单位性质是全额财政拨款</w:t>
            </w:r>
            <w:r>
              <w:rPr>
                <w:rFonts w:hint="eastAsia" w:ascii="仿宋_GB2312" w:hAnsi="仿宋_GB2312" w:eastAsia="仿宋_GB2312" w:cs="仿宋_GB2312"/>
                <w:bCs/>
                <w:sz w:val="28"/>
                <w:szCs w:val="28"/>
                <w:lang w:eastAsia="zh-CN"/>
              </w:rPr>
              <w:t>事业单位</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 xml:space="preserve">   </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zh-CN"/>
              </w:rPr>
              <w:t>区静脉产业园内设机构包括：(一）办公室；（二）业务部（安全环境部）；（三）规划建设部；（四）招商发展部；（五）计划财务部。</w:t>
            </w: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020</w:t>
            </w:r>
            <w:r>
              <w:rPr>
                <w:rFonts w:hint="eastAsia" w:ascii="仿宋_GB2312" w:hAnsi="仿宋_GB2312" w:eastAsia="仿宋_GB2312" w:cs="仿宋_GB2312"/>
                <w:bCs/>
                <w:sz w:val="28"/>
                <w:szCs w:val="28"/>
              </w:rPr>
              <w:t>年末区编办核定区</w:t>
            </w:r>
            <w:r>
              <w:rPr>
                <w:rFonts w:hint="eastAsia" w:ascii="仿宋_GB2312" w:hAnsi="仿宋_GB2312" w:eastAsia="仿宋_GB2312" w:cs="仿宋_GB2312"/>
                <w:bCs/>
                <w:sz w:val="28"/>
                <w:szCs w:val="28"/>
                <w:lang w:eastAsia="zh-CN"/>
              </w:rPr>
              <w:t>静脉产业园</w:t>
            </w:r>
            <w:r>
              <w:rPr>
                <w:rFonts w:hint="eastAsia" w:ascii="仿宋_GB2312" w:hAnsi="仿宋_GB2312" w:eastAsia="仿宋_GB2312" w:cs="仿宋_GB2312"/>
                <w:bCs/>
                <w:sz w:val="28"/>
                <w:szCs w:val="28"/>
              </w:rPr>
              <w:t>编制人数</w:t>
            </w:r>
            <w:r>
              <w:rPr>
                <w:rFonts w:hint="eastAsia" w:ascii="仿宋_GB2312" w:hAnsi="仿宋_GB2312" w:eastAsia="仿宋_GB2312" w:cs="仿宋_GB2312"/>
                <w:bCs/>
                <w:sz w:val="28"/>
                <w:szCs w:val="28"/>
                <w:lang w:val="en-US" w:eastAsia="zh-CN"/>
              </w:rPr>
              <w:t>7人，在职人数7人。</w:t>
            </w:r>
          </w:p>
          <w:p>
            <w:pPr>
              <w:pStyle w:val="2"/>
              <w:rPr>
                <w:rFonts w:hint="default"/>
                <w:lang w:val="en-US" w:eastAsia="zh-CN"/>
              </w:rPr>
            </w:pP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2020年区静脉产业园总支出为108.38万元。基本支出108.38万元，其中人员支出89.44万元，用于基本工资、津贴补贴、社保费缴纳等人员经费；公用支出18.94万元，用于办公费、印刷费、水电费等日常办公开支。</w:t>
            </w:r>
          </w:p>
          <w:p>
            <w:pPr>
              <w:numPr>
                <w:ilvl w:val="0"/>
                <w:numId w:val="1"/>
              </w:numPr>
              <w:spacing w:line="56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lang w:eastAsia="zh-CN"/>
              </w:rPr>
              <w:t>一般公共预算支出情况</w:t>
            </w:r>
          </w:p>
          <w:p>
            <w:pPr>
              <w:numPr>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年区</w:t>
            </w:r>
            <w:r>
              <w:rPr>
                <w:rFonts w:hint="eastAsia" w:ascii="仿宋_GB2312" w:hAnsi="仿宋_GB2312" w:eastAsia="仿宋_GB2312" w:cs="仿宋_GB2312"/>
                <w:bCs/>
                <w:sz w:val="28"/>
                <w:szCs w:val="28"/>
                <w:lang w:eastAsia="zh-CN"/>
              </w:rPr>
              <w:t>静脉产业园</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108.38</w:t>
            </w:r>
            <w:r>
              <w:rPr>
                <w:rFonts w:hint="eastAsia" w:ascii="仿宋_GB2312" w:hAnsi="仿宋_GB2312" w:eastAsia="仿宋_GB2312" w:cs="仿宋_GB2312"/>
                <w:bCs/>
                <w:sz w:val="28"/>
                <w:szCs w:val="28"/>
              </w:rPr>
              <w:t>万元，其中人员支出</w:t>
            </w:r>
            <w:r>
              <w:rPr>
                <w:rFonts w:hint="eastAsia" w:ascii="仿宋_GB2312" w:hAnsi="仿宋_GB2312" w:eastAsia="仿宋_GB2312" w:cs="仿宋_GB2312"/>
                <w:bCs/>
                <w:sz w:val="28"/>
                <w:szCs w:val="28"/>
                <w:lang w:val="en-US" w:eastAsia="zh-CN"/>
              </w:rPr>
              <w:t>89.44</w:t>
            </w:r>
            <w:r>
              <w:rPr>
                <w:rFonts w:hint="eastAsia" w:ascii="仿宋_GB2312" w:hAnsi="仿宋_GB2312" w:eastAsia="仿宋_GB2312" w:cs="仿宋_GB2312"/>
                <w:bCs/>
                <w:sz w:val="28"/>
                <w:szCs w:val="28"/>
              </w:rPr>
              <w:t>万元，用于基本工资、津贴补贴、社保费缴纳等人员经费；公用支出</w:t>
            </w:r>
            <w:r>
              <w:rPr>
                <w:rFonts w:hint="eastAsia" w:ascii="仿宋_GB2312" w:hAnsi="仿宋_GB2312" w:eastAsia="仿宋_GB2312" w:cs="仿宋_GB2312"/>
                <w:bCs/>
                <w:sz w:val="28"/>
                <w:szCs w:val="28"/>
                <w:lang w:val="en-US" w:eastAsia="zh-CN"/>
              </w:rPr>
              <w:t>18.94</w:t>
            </w:r>
            <w:r>
              <w:rPr>
                <w:rFonts w:hint="eastAsia" w:ascii="仿宋_GB2312" w:hAnsi="仿宋_GB2312" w:eastAsia="仿宋_GB2312" w:cs="仿宋_GB2312"/>
                <w:bCs/>
                <w:sz w:val="28"/>
                <w:szCs w:val="28"/>
              </w:rPr>
              <w:t>万元，用于办公费、印刷费、水电费等日常办公开支。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“三公”经费支出情况。“三公”经费支出合计</w:t>
            </w:r>
            <w:r>
              <w:rPr>
                <w:rFonts w:hint="eastAsia" w:ascii="仿宋_GB2312" w:hAnsi="仿宋_GB2312" w:eastAsia="仿宋_GB2312" w:cs="仿宋_GB2312"/>
                <w:bCs/>
                <w:sz w:val="28"/>
                <w:szCs w:val="28"/>
                <w:lang w:val="en-US" w:eastAsia="zh-CN"/>
              </w:rPr>
              <w:t>0.05</w:t>
            </w:r>
            <w:r>
              <w:rPr>
                <w:rFonts w:hint="eastAsia" w:ascii="仿宋_GB2312" w:hAnsi="仿宋_GB2312" w:eastAsia="仿宋_GB2312" w:cs="仿宋_GB2312"/>
                <w:bCs/>
                <w:sz w:val="28"/>
                <w:szCs w:val="28"/>
              </w:rPr>
              <w:t>万元，较上年保持递减趋势，分项为：公务接待费支出</w:t>
            </w:r>
            <w:r>
              <w:rPr>
                <w:rFonts w:hint="eastAsia" w:ascii="仿宋_GB2312" w:hAnsi="仿宋_GB2312" w:eastAsia="仿宋_GB2312" w:cs="仿宋_GB2312"/>
                <w:bCs/>
                <w:sz w:val="28"/>
                <w:szCs w:val="28"/>
                <w:lang w:val="en-US" w:eastAsia="zh-CN"/>
              </w:rPr>
              <w:t>0.05</w:t>
            </w:r>
            <w:r>
              <w:rPr>
                <w:rFonts w:hint="eastAsia" w:ascii="仿宋_GB2312" w:hAnsi="仿宋_GB2312" w:eastAsia="仿宋_GB2312" w:cs="仿宋_GB2312"/>
                <w:bCs/>
                <w:sz w:val="28"/>
                <w:szCs w:val="28"/>
              </w:rPr>
              <w:t>万元，公务用车运行维护费支出0万元，公务用车购置费支出0万元，因公出国（境）费支出0万元。严格控制“三公”经费支出，严格执行公务接待有关制度，严控标准和陪同人数。</w:t>
            </w:r>
          </w:p>
          <w:p>
            <w:pPr>
              <w:spacing w:line="560" w:lineRule="exact"/>
              <w:ind w:firstLine="560" w:firstLineChars="200"/>
              <w:rPr>
                <w:rFonts w:hint="eastAsia" w:ascii="仿宋_GB2312" w:hAnsi="仿宋_GB2312" w:eastAsia="仿宋_GB2312" w:cs="仿宋_GB2312"/>
                <w:bCs/>
                <w:sz w:val="28"/>
                <w:szCs w:val="28"/>
                <w:lang w:val="en-US" w:eastAsia="zh-CN"/>
              </w:rPr>
            </w:pP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专项支出</w:t>
            </w:r>
          </w:p>
          <w:p>
            <w:pPr>
              <w:numPr>
                <w:ilvl w:val="0"/>
                <w:numId w:val="0"/>
              </w:numPr>
              <w:spacing w:line="560" w:lineRule="exact"/>
              <w:ind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2020年没有专项支出。</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Cs/>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Cs/>
                <w:sz w:val="28"/>
                <w:szCs w:val="28"/>
                <w:lang w:val="en-US" w:eastAsia="zh-CN"/>
              </w:rPr>
              <w:t>无</w:t>
            </w:r>
          </w:p>
          <w:p>
            <w:pPr>
              <w:pStyle w:val="2"/>
              <w:ind w:firstLine="560"/>
              <w:rPr>
                <w:rFonts w:hint="default"/>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部门（单位）整体支出绩效情况</w:t>
            </w:r>
          </w:p>
          <w:p>
            <w:pPr>
              <w:numPr>
                <w:ilvl w:val="0"/>
                <w:numId w:val="0"/>
              </w:numPr>
              <w:autoSpaceDN w:val="0"/>
              <w:spacing w:line="320" w:lineRule="exact"/>
              <w:ind w:firstLine="560" w:firstLineChars="200"/>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年来，区静脉产业园管理中心全面对标中央和上级党委有关政治建设要求，认真贯彻落实市委市政府和区委区政府决策部署，以项目建设为抓手，密切协调配合相关部门单位，全力服务静脉产业园项目建设运营和社会稳定大局，较好完成了年度各项工作目标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（一）严格疫情防控，助推企业复工复产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2020年园区建设任务十分繁重。一年来，面对疫情肆虐的不利形势，管理中心认真贯彻上级疫情防控工作指令，全力协调服务园区企业疫情防控和复工复产工作，圆满完成了区委区政府关于疫情防控和经济社会发展“两手抓、两手硬、两手赢”的工作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一是落实人员责任。抽调三名干部组建驻企联络组，细化责任分工，实行一人一厂联点包干负责制。拟定防疫检查细则，并指导各园区企业落实防疫责任人。建立防疫工作群，及时转发和传达市、区防疫指挥部指令，报送园区防疫工作动态信息。印发防疫宣传册500份，制作防疫宣传栏8个，核酸送检37人，集中隔离5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二是加强检查指导。建立了园区人员排查和报告制度，督促企业全面落实防疫工作主体责任，每天至少2次深入企业检查指导，对厂区员工生产生活实行动态监控。严格做到员工不戴口罩不上岗，车辆不消毒不出厂，外来人员不申报不进厂。医疗废物处置项目部租用陆城镇民居临时办公，为了减少外出，在疫情最严重的三、四月间，坚持每天三餐吃方便面。各企业严格落实防疫工作措施，确保了疫情期间满负荷生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三是支持企业复工。指导、督促园区企业全面落实疫情防控 “四个有”措施，协助企业解决生产生活困难，助推企业顺利复工。共帮助企业联系消毒酒精50千克，捐赠口罩2000个，协调本地劳务用工237人，向上争取防护服100套，确保了垃圾发电生产车间顶棚安装和炉渣项目生产厂房建设如期完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四是争取政策支持。积极配合园区企业争取优惠贷款、税费减免、资金扶持等政策支持措施。其中垃圾焚烧发电和医废处置项目养老保险2-6月份免交，电费减免。协助垃圾焚烧发电项目争取贷款4.2亿元，减免中收款项10万元。此外，武汉封城期间，多次对上请示汇报，协助垃圾焚烧发电厂5名援建武汉火神山医院的员工顺利返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一年来，医疗废物处置和垃圾焚烧发电项目正常生产，炉渣项目顺利试生产，为夺取全市防疫和复工复产工作的双胜利作出了贡献，市领导万岳斌副主任、黎作凤副市长视察后给予高度肯定。云溪新闻以《静脉产业园防疫工作不留死角》进行了推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（二）紧扣工期进度，加速项目建设运营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一是指导督促垃圾焚烧发电项目完成顶棚钢结构安装工程和生产车间负压装置建设，协调市、区两级职能部门通过项目环评验收，正式投产运营。二是积极与区住建部门协调，督促医疗废物处置企业落实资金，完成办公楼装修工作。元旦前已整体搬迁到新办公楼办公。三是在疫情爆发外地劳工无法进场施工的困难情况下，协调本地建筑企业，优先安排劳务用工支援炉渣项目建设，确保了项目于8月建成试运营。目前正在抓紧建设办公用房及相关配套设施。四是加速园区新上项目开工。厨余垃圾处置项目是市政府要求年内开工建设的重大市政工程，项目占地总面积70亩，一期投资概算2.47亿元，由市交投集团投资建设。在市交投集团办理厨余处置项目用地进度迟缓的情况下，主动承揽厨余项目用地报批工作，安排专人跑市赴省驻守，用不到两个月时间完成土地报批手续，这也是政策调整后我区2020年取得的第一份项目用地批单。与此同时，积极协调督促项目业主单位完成土地平整，目前正在办理报建手续，组织进场施工，预计2021年8月建成投产。此外，通过积极对接，市交通部门启动了垃圾运输专用通道项目前期工作规划。目前道路线型已确定，市委市政府成立了沿江公路建设指挥部，正在着手项目前期工作。以厨余垃圾处理项目征地拆迁为契机，将园区“纵二路”用地纳入厨余垃圾处理项目用地范围申报，2020年9月30日取得用地批单。目前，市城管局正在办理项目报建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（三）筑牢底线思维，突出抓好安全环保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始终站在政治高度领会区委区政府打赢污染防治攻坚战、推进生态环境整治的坚强意志和坚定决心，把确保园区企业安全生产、达标排放作为园区监管的首要任务。一是督促项目业主单位和施工企业自觉履行安全生产和环境保护主体责任，严格落实各项安全、环保措施，确保废气废水达标排放。指导医疗废物处理项目建成烟气收集处理系统，督促垃圾焚烧发电项目完成环保监测在线系统建设，全天候公布监测数据，接受群众监督。在厨余项目土地平整中，督促施工单位装备围挡、固定洗车槽及除尘等设施，确保渣土外运符合安全卫生施工条件。二是密切配合环保、住建等职能部门，扎实开展工程质量、安全和环境日常监管监测工作。坚持每个月邀请市、区环保部门开展环保监测，主动联系职能部门组织安全执法检查，尽最大努力保障周边群众生产生活不受大的影响。三是拓宽环保监督渠道，聘请离退休干部、周边群众为兼职环保监督员或环保志愿者，定期或不定期深入园区企业监督项目设施运营和维护情况。委托专业机构每季度组织环保检测，及时跟踪落实，督促整改到位。结合垃圾分类工作，组织开展了学生进园区参观体验活动，市、区新闻媒体进行了重点报道。从监测数据来看，园区企业各项污染物排放指标均达到环保控制标准。2020年12月20日，省委巡视组在巡视垃圾焚烧发电项目中，实地了解到企业运营环保指标优于欧盟标准，废水实现零排放，巡视组一行对此给予充分肯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（四）积极主动作为，发挥协调服务功能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一是主动服务园区企业。主动与临湘工业园滨江片区和中非产业园联系，实现了炉渣产品就地销售。为加速推进厨余项目开工，积极争取区职能部门支持，提前启动项目临建设施建设。主动与住建部门对接，完成了医疗废物处置项目办公楼预验收，实现了年内入住办公的目标。结合扫黑除恶专项斗争，安排专班常驻项目现场办公，及时调处矛盾纠纷。配合辖区派出所严厉打击阻工闹事等不法行为，营造了风清气正的施工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二是主动回应群众关切。急群众之所急，积极争取资金，配合陆城镇完成还建安置小区二期工程建设和分户入住工作。提前实施还建安置小区三期建设，目前主体工程已竣工验收。争取市政府和项目业主单位支持，将厨余垃圾处理项目、垃圾焚烧发电项目和物流通道项目周边生产受影响的田地纳入补损范围，妥善解决了群众耕种难问题。主动与园区企业对接，争取到厨余处置项目土方平整业务，协调项目周边28名困难群众进厂就业。促进本地劳动力就近就业。一年来，项目所在地未发生一起大的群体性事件和阻工闹事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（五）强化队伍管理，打造担当履职团队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一是抓好学习培训。全年组织理论学习13次，支部专题学习3次，重点学习了习近平总书记在“不忘初心、牢记使命”主题教育总结大会上的讲话、在湖南考察时的讲话等系列讲话精神以及关于脱贫攻坚、疫情防控、意识形态、党风廉政建设、依法治国等方面的主要精神和重要论述。在抓好干部集中学习和自学的同时，组织全体干部深入园区企业，参加企业组织的业务培训活动。学习强国活动常抓不懈。坚持班子成员带头，每天将学习积分发至管理中心微信群，引导全体干部积极参与。自2019年起，在全区学习强国活动分通报中，管理中心干部参学率、活跃学员及人均积分始终排名第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 xml:space="preserve">二是强化责任担当。组织全体党员干部原文学习了五届区委第73次常委会议精神，扎实开展了“强担当履职责，转作风抓落实”大讨论，对查找出的问题对标对表，抓好整改落实。牢牢把握“项目论英雄、实干创业绩”的用人导向。年初，将年度目标任务细化分解，责任到人到事到时，与干部年度评先挂钩，并加强调度和督查，实行奖优罚劣，确保了各项工作有序推进，收到实效。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仿宋_GB2312" w:hAnsi="仿宋_GB2312" w:eastAsia="仿宋_GB2312" w:cs="仿宋_GB2312"/>
                <w:bCs/>
                <w:sz w:val="28"/>
                <w:szCs w:val="28"/>
                <w:lang w:eastAsia="zh-CN"/>
              </w:rPr>
              <w:t>三是狠抓作风建设。严格落实党风廉政 “一岗双责”。集中学习了《中国共产党廉洁自律准则》、《党委（党组）落实全面从严治党主体责任规定》等党纪党规，组织参观了韶山红色教育基地，集体观看了《半条被子》宣教片和大案要案警示片。坚决贯彻民主集中制，凡事按程序守规矩，单位“三重一大”事项通过集体研究决定。紧扣区委巡察组反馈意见，坚持问题导向，整章建制，彻底解决了单位租车、公务接待超标、签单挂账、服务采购不规范等遗留问题。在党员干部中形成了干净做事、本色做人的良好风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七、</w:t>
            </w:r>
            <w:r>
              <w:rPr>
                <w:rFonts w:hint="eastAsia" w:ascii="黑体" w:hAnsi="黑体" w:eastAsia="黑体" w:cs="黑体"/>
                <w:bCs/>
                <w:sz w:val="28"/>
                <w:szCs w:val="28"/>
              </w:rPr>
              <w:t>存在的问题</w:t>
            </w:r>
            <w:r>
              <w:rPr>
                <w:rFonts w:hint="eastAsia" w:ascii="黑体" w:hAnsi="黑体" w:eastAsia="黑体" w:cs="黑体"/>
                <w:bCs/>
                <w:sz w:val="28"/>
                <w:szCs w:val="28"/>
                <w:lang w:eastAsia="zh-CN"/>
              </w:rPr>
              <w:t>及原因分析</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lang w:eastAsia="zh-CN"/>
              </w:rPr>
            </w:pPr>
            <w:r>
              <w:rPr>
                <w:rFonts w:hint="eastAsia" w:ascii="仿宋_GB2312" w:hAnsi="仿宋_GB2312" w:eastAsia="仿宋_GB2312" w:cs="仿宋_GB2312"/>
                <w:bCs/>
                <w:sz w:val="28"/>
                <w:szCs w:val="28"/>
                <w:lang w:eastAsia="zh-CN"/>
              </w:rPr>
              <w:t>主要存在的问题是固定资产管理需要进一步加强，原因在于未及时核销已超过使用年限，设备老化无法使用的固定资产。</w:t>
            </w:r>
          </w:p>
          <w:p>
            <w:pPr>
              <w:numPr>
                <w:numId w:val="0"/>
              </w:numPr>
              <w:spacing w:line="560" w:lineRule="exact"/>
              <w:ind w:leftChars="200"/>
              <w:rPr>
                <w:rFonts w:hint="eastAsia" w:ascii="黑体" w:hAnsi="黑体" w:eastAsia="黑体" w:cs="黑体"/>
                <w:bCs/>
                <w:sz w:val="28"/>
                <w:szCs w:val="28"/>
              </w:rPr>
            </w:pPr>
            <w:r>
              <w:rPr>
                <w:rFonts w:hint="eastAsia" w:ascii="黑体" w:hAnsi="黑体" w:eastAsia="黑体" w:cs="黑体"/>
                <w:bCs/>
                <w:sz w:val="28"/>
                <w:szCs w:val="28"/>
                <w:lang w:eastAsia="zh-CN"/>
              </w:rPr>
              <w:t>八、</w:t>
            </w:r>
            <w:r>
              <w:rPr>
                <w:rFonts w:hint="eastAsia" w:ascii="黑体" w:hAnsi="黑体" w:eastAsia="黑体" w:cs="黑体"/>
                <w:bCs/>
                <w:sz w:val="28"/>
                <w:szCs w:val="28"/>
              </w:rPr>
              <w:t>改进措施和有关建议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ascii="仿宋_GB2312" w:hAnsi="仿宋_GB2312" w:eastAsia="仿宋_GB2312" w:cs="仿宋_GB2312"/>
                <w:bCs/>
                <w:sz w:val="28"/>
                <w:szCs w:val="28"/>
                <w:lang w:eastAsia="zh-CN"/>
              </w:rPr>
              <w:t>严格执行《岳阳市云溪区行政事业单位国有资产管理暂行办法》，从资产配置、使用以及处置等各环节规范固定资产的管理，提高固定资产使用效率，减少资金浪费。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其他需要说明的情况</w:t>
            </w:r>
          </w:p>
          <w:p>
            <w:pPr>
              <w:pStyle w:val="2"/>
              <w:numPr>
                <w:ilvl w:val="0"/>
                <w:numId w:val="0"/>
              </w:numP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 xml:space="preserve">    无</w:t>
            </w:r>
            <w:bookmarkStart w:id="0" w:name="_GoBack"/>
            <w:bookmarkEnd w:id="0"/>
          </w:p>
          <w:p>
            <w:pPr>
              <w:pStyle w:val="2"/>
              <w:rPr>
                <w:rFonts w:hint="eastAsia"/>
              </w:rPr>
            </w:pPr>
          </w:p>
          <w:p>
            <w:pPr>
              <w:rPr>
                <w:rFonts w:eastAsia="楷体_GB2312"/>
                <w:bCs/>
                <w:sz w:val="28"/>
                <w:szCs w:val="28"/>
              </w:rPr>
            </w:pPr>
          </w:p>
        </w:tc>
      </w:tr>
    </w:tbl>
    <w:p>
      <w:pPr>
        <w:spacing w:line="348" w:lineRule="auto"/>
        <w:rPr>
          <w:rFonts w:eastAsia="楷体_GB2312"/>
          <w:bCs/>
          <w:sz w:val="28"/>
          <w:szCs w:val="28"/>
        </w:rPr>
      </w:pPr>
    </w:p>
    <w:p>
      <w:pPr>
        <w:rPr>
          <w:rFonts w:hint="default" w:eastAsia="仿宋_GB2312" w:cs="仿宋_GB2312"/>
          <w:bCs/>
          <w:sz w:val="28"/>
          <w:szCs w:val="28"/>
          <w:lang w:val="en-US" w:eastAsia="zh-CN"/>
        </w:rPr>
      </w:pPr>
      <w:r>
        <w:rPr>
          <w:rFonts w:eastAsia="楷体_GB2312"/>
          <w:bCs/>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587CD"/>
    <w:multiLevelType w:val="singleLevel"/>
    <w:tmpl w:val="3EC587CD"/>
    <w:lvl w:ilvl="0" w:tentative="0">
      <w:start w:val="3"/>
      <w:numFmt w:val="chineseCounting"/>
      <w:suff w:val="nothing"/>
      <w:lvlText w:val="%1、"/>
      <w:lvlJc w:val="left"/>
      <w:rPr>
        <w:rFonts w:hint="eastAsia"/>
      </w:rPr>
    </w:lvl>
  </w:abstractNum>
  <w:abstractNum w:abstractNumId="1">
    <w:nsid w:val="4A3B597B"/>
    <w:multiLevelType w:val="singleLevel"/>
    <w:tmpl w:val="4A3B597B"/>
    <w:lvl w:ilvl="0" w:tentative="0">
      <w:start w:val="2"/>
      <w:numFmt w:val="chineseCounting"/>
      <w:suff w:val="nothing"/>
      <w:lvlText w:val="%1、"/>
      <w:lvlJc w:val="left"/>
      <w:rPr>
        <w:rFonts w:hint="eastAsia"/>
      </w:rPr>
    </w:lvl>
  </w:abstractNum>
  <w:abstractNum w:abstractNumId="2">
    <w:nsid w:val="507C16B0"/>
    <w:multiLevelType w:val="singleLevel"/>
    <w:tmpl w:val="507C16B0"/>
    <w:lvl w:ilvl="0" w:tentative="0">
      <w:start w:val="2"/>
      <w:numFmt w:val="chineseCounting"/>
      <w:suff w:val="nothing"/>
      <w:lvlText w:val="（%1）"/>
      <w:lvlJc w:val="left"/>
      <w:rPr>
        <w:rFonts w:hint="eastAsia"/>
      </w:rPr>
    </w:lvl>
  </w:abstractNum>
  <w:abstractNum w:abstractNumId="3">
    <w:nsid w:val="6D0518E8"/>
    <w:multiLevelType w:val="singleLevel"/>
    <w:tmpl w:val="6D0518E8"/>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778B4"/>
    <w:rsid w:val="06AC044E"/>
    <w:rsid w:val="0D1E4A58"/>
    <w:rsid w:val="1D1316E8"/>
    <w:rsid w:val="242805EF"/>
    <w:rsid w:val="2D7B7909"/>
    <w:rsid w:val="3A26327F"/>
    <w:rsid w:val="42815C42"/>
    <w:rsid w:val="49207251"/>
    <w:rsid w:val="4F4E13D4"/>
    <w:rsid w:val="4F8C6BF5"/>
    <w:rsid w:val="608E02A0"/>
    <w:rsid w:val="6E5778B4"/>
    <w:rsid w:val="754673BA"/>
    <w:rsid w:val="79110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rFonts w:asciiTheme="minorHAnsi" w:hAnsiTheme="minorHAnsi"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1399</Words>
  <Characters>1538</Characters>
  <Lines>0</Lines>
  <Paragraphs>0</Paragraphs>
  <TotalTime>2</TotalTime>
  <ScaleCrop>false</ScaleCrop>
  <LinksUpToDate>false</LinksUpToDate>
  <CharactersWithSpaces>1920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2021-11-04T00:51:00Z</dcterms:created>
  <dc:creator>lenovo</dc:creator>
  <cp:lastModifiedBy>lenovo</cp:lastModifiedBy>
  <dcterms:modified xsi:type="dcterms:W3CDTF">2021-11-04T07:35:04Z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13168ED14B644EE1AF39B90B63A4DE10</vt:lpwstr>
  </property>
</Properties>
</file>