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2-1</w:t>
      </w:r>
      <w:r>
        <w:rPr>
          <w:rFonts w:hint="eastAsia" w:ascii="黑体" w:hAnsi="黑体" w:eastAsia="黑体" w:cs="黑体"/>
          <w:bCs/>
          <w:sz w:val="32"/>
          <w:szCs w:val="32"/>
        </w:rPr>
        <w:t>：</w:t>
      </w:r>
    </w:p>
    <w:p>
      <w:pPr>
        <w:spacing w:line="800" w:lineRule="exact"/>
        <w:jc w:val="center"/>
        <w:rPr>
          <w:rFonts w:hint="eastAsia" w:eastAsia="方正小标宋简体"/>
          <w:bCs/>
          <w:sz w:val="46"/>
          <w:szCs w:val="46"/>
        </w:rPr>
      </w:pPr>
      <w:r>
        <w:rPr>
          <w:rFonts w:hint="eastAsia" w:eastAsia="方正小标宋简体"/>
          <w:bCs/>
          <w:sz w:val="46"/>
          <w:szCs w:val="46"/>
        </w:rPr>
        <w:t>岳阳市云溪区</w:t>
      </w:r>
      <w:r>
        <w:rPr>
          <w:rFonts w:hint="eastAsia" w:eastAsia="方正小标宋简体"/>
          <w:bCs/>
          <w:sz w:val="46"/>
          <w:szCs w:val="46"/>
          <w:u w:val="single"/>
        </w:rPr>
        <w:t>20</w:t>
      </w:r>
      <w:r>
        <w:rPr>
          <w:rFonts w:hint="eastAsia" w:eastAsia="方正小标宋简体"/>
          <w:bCs/>
          <w:sz w:val="46"/>
          <w:szCs w:val="46"/>
          <w:u w:val="single"/>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lang w:val="en-US" w:eastAsia="zh-CN"/>
        </w:rPr>
      </w:pPr>
      <w:r>
        <w:rPr>
          <w:rFonts w:hint="eastAsia" w:eastAsia="仿宋_GB2312"/>
          <w:b/>
          <w:sz w:val="32"/>
          <w:lang w:val="en-US" w:eastAsia="zh-CN"/>
        </w:rPr>
        <w:t xml:space="preserve"> </w:t>
      </w: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岳阳市云溪区信访局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ascii="Calibri" w:hAnsi="Calibri" w:eastAsia="仿宋_GB2312" w:cs="Times New Roman"/>
          <w:sz w:val="32"/>
          <w:szCs w:val="32"/>
          <w:u w:val="single"/>
          <w:lang w:val="en-US" w:eastAsia="zh-CN"/>
        </w:rPr>
        <w:t xml:space="preserve">127001  </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20</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王清华</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8415041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9（含改非3名，三类人员2名）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岳阳市云溪区信访局是岳阳市云溪区人民政府工作部门，主要职责为：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（1）负责处理人民群众给区委、区政府及其领导同志的来信，接待处理群众来信、来访、网络信访，为领导同志接待上访群众做好组织服务工作。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（2）承办中央、省、市和区委、区政府交办的信访事项，向镇(办）和部门交办信访事项，督促检查处理落实情况。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（3）办理区本级信访事项复查复核，指导全区信访事项复查复核工作。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（4）综合、反映群众信访中提出的重要意见、建议和问题，开展调查研究，为区委、区政府提供信访信息。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（5）协同有关部门处理跨地区、跨部门的重大信访问题，协调处理群众到区到市、赴省进京上访，协调全区各级党政机关的信访工作。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（6）开展信访工作宣传和调研；指导全区信访工作业务，总结推广信访工作经验，提出加强和改进信访工作的建议意见。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（7）掌握全区信访工作队伍建设情况，提出加强信访队伍建设措施，对信访工作中失职、渎职行为提出处理建议，组织信访干部培训，指导信访部门办公自动化建设。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left="0" w:right="0" w:firstLine="42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（8）完成区委、区政府交办的其他任务。</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任务1：巩固提升信访“三无”县市区创建成果。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任务2：热情接待群众来访，认真办理群众信访事项。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任务3：加强基层基础工作，深化源头治理。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任务4：严格落实信访预警信息报送制度。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任务5：积极协调处理重大信访突出问题。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任务6：推动法定途径分类处理信访问题工作。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firstLine="480" w:firstLineChars="200"/>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今年来，在省、市信访局的大力支持、精心指导和区委、区政府的高度重视下，我局坚持以习近平新时代中国特色社会主义思想为指导，深入学习贯彻习近平总书记关于加强和改进人民信访工作重要思想，坚持以人民为中心的新发展理念，紧紧围绕全区工作大局，真抓实干，持续推进“阳光信访”、“责任信访”、“法治信访”建设。全年共接待信访群众376批1213人次，同比批次下降54.9%、人次下降27.97%,</w:t>
            </w:r>
            <w:r>
              <w:rPr>
                <w:rFonts w:hint="eastAsia" w:ascii="仿宋_GB2312" w:hAnsi="仿宋_GB2312" w:eastAsia="仿宋_GB2312" w:cs="仿宋_GB2312"/>
                <w:color w:val="000000"/>
                <w:kern w:val="2"/>
                <w:sz w:val="24"/>
                <w:szCs w:val="24"/>
                <w:lang w:val="zh-CN" w:eastAsia="zh-CN" w:bidi="ar-SA"/>
              </w:rPr>
              <w:t>信访形势总体平稳可控</w:t>
            </w:r>
            <w:r>
              <w:rPr>
                <w:rFonts w:hint="eastAsia" w:ascii="仿宋_GB2312" w:hAnsi="仿宋_GB2312" w:eastAsia="仿宋_GB2312" w:cs="仿宋_GB2312"/>
                <w:color w:val="000000"/>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200.2</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200.2</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132.9</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99.32</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33.5</w:t>
            </w:r>
            <w:r>
              <w:rPr>
                <w:rFonts w:hint="eastAsia" w:ascii="仿宋_GB2312" w:hAnsi="仿宋_GB2312" w:eastAsia="仿宋_GB2312" w:cs="仿宋_GB2312"/>
                <w:color w:val="000000"/>
                <w:sz w:val="24"/>
                <w:lang w:val="en-US" w:eastAsia="zh-CN"/>
              </w:rPr>
              <w:t>8</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67.3</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200.2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132.9</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99.32</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33.5</w:t>
            </w:r>
            <w:r>
              <w:rPr>
                <w:rFonts w:hint="eastAsia" w:ascii="仿宋_GB2312" w:hAnsi="仿宋_GB2312" w:eastAsia="仿宋_GB2312" w:cs="仿宋_GB2312"/>
                <w:color w:val="000000"/>
                <w:sz w:val="24"/>
                <w:lang w:val="en-US" w:eastAsia="zh-CN"/>
              </w:rPr>
              <w:t>8</w:t>
            </w: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67.3</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0.6</w:t>
            </w:r>
            <w:r>
              <w:rPr>
                <w:rFonts w:hint="eastAsia" w:ascii="仿宋_GB2312" w:hAnsi="仿宋_GB2312" w:eastAsia="仿宋_GB2312" w:cs="仿宋_GB2312"/>
                <w:color w:val="000000"/>
                <w:sz w:val="24"/>
                <w:lang w:val="en-US" w:eastAsia="zh-CN"/>
              </w:rPr>
              <w:t>1</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0.6</w:t>
            </w:r>
            <w:r>
              <w:rPr>
                <w:rFonts w:hint="eastAsia" w:ascii="仿宋_GB2312" w:hAnsi="仿宋_GB2312" w:eastAsia="仿宋_GB2312" w:cs="仿宋_GB2312"/>
                <w:color w:val="000000"/>
                <w:sz w:val="24"/>
                <w:lang w:val="en-US" w:eastAsia="zh-CN"/>
              </w:rPr>
              <w:t>1</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0.6</w:t>
            </w:r>
            <w:r>
              <w:rPr>
                <w:rFonts w:hint="eastAsia" w:ascii="仿宋_GB2312" w:hAnsi="仿宋_GB2312" w:eastAsia="仿宋_GB2312" w:cs="仿宋_GB2312"/>
                <w:color w:val="000000"/>
                <w:sz w:val="24"/>
                <w:lang w:val="en-US" w:eastAsia="zh-CN"/>
              </w:rPr>
              <w:t>1</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0.6</w:t>
            </w:r>
            <w:r>
              <w:rPr>
                <w:rFonts w:hint="eastAsia" w:ascii="仿宋_GB2312" w:hAnsi="仿宋_GB2312" w:eastAsia="仿宋_GB2312" w:cs="仿宋_GB2312"/>
                <w:color w:val="000000"/>
                <w:sz w:val="24"/>
                <w:lang w:val="en-US" w:eastAsia="zh-CN"/>
              </w:rPr>
              <w:t>1</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57.</w:t>
            </w:r>
            <w:r>
              <w:rPr>
                <w:rFonts w:hint="eastAsia" w:ascii="仿宋_GB2312" w:hAnsi="仿宋_GB2312" w:eastAsia="仿宋_GB2312" w:cs="仿宋_GB2312"/>
                <w:color w:val="000000"/>
                <w:sz w:val="24"/>
                <w:lang w:val="en-US" w:eastAsia="zh-CN"/>
              </w:rPr>
              <w:t>3</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57.</w:t>
            </w:r>
            <w:r>
              <w:rPr>
                <w:rFonts w:hint="eastAsia" w:ascii="仿宋_GB2312" w:hAnsi="仿宋_GB2312" w:eastAsia="仿宋_GB2312" w:cs="仿宋_GB2312"/>
                <w:color w:val="000000"/>
                <w:sz w:val="24"/>
                <w:lang w:val="en-US" w:eastAsia="zh-CN"/>
              </w:rPr>
              <w:t>3</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57.</w:t>
            </w:r>
            <w:r>
              <w:rPr>
                <w:rFonts w:hint="eastAsia" w:ascii="仿宋_GB2312" w:hAnsi="仿宋_GB2312" w:eastAsia="仿宋_GB2312" w:cs="仿宋_GB2312"/>
                <w:color w:val="000000"/>
                <w:sz w:val="24"/>
                <w:lang w:val="en-US" w:eastAsia="zh-CN"/>
              </w:rPr>
              <w:t>3</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57.</w:t>
            </w:r>
            <w:r>
              <w:rPr>
                <w:rFonts w:hint="eastAsia" w:ascii="仿宋_GB2312" w:hAnsi="仿宋_GB2312" w:eastAsia="仿宋_GB2312" w:cs="仿宋_GB2312"/>
                <w:color w:val="000000"/>
                <w:sz w:val="24"/>
                <w:lang w:val="en-US" w:eastAsia="zh-CN"/>
              </w:rPr>
              <w:t>3</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color w:val="000000"/>
                <w:kern w:val="2"/>
                <w:sz w:val="24"/>
                <w:szCs w:val="24"/>
                <w:lang w:val="en-US" w:eastAsia="zh-CN" w:bidi="ar-SA"/>
              </w:rPr>
            </w:pPr>
          </w:p>
        </w:tc>
        <w:tc>
          <w:tcPr>
            <w:tcW w:w="3774" w:type="dxa"/>
            <w:gridSpan w:val="7"/>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任务1：全面启动云溪区信访“三无”县市区巩固和质量大提升工作。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任务2：依法依规办理群众信访事项，推进“双向规范”，大力规范信访秩序。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任务3：坚持“降存量、控增量、防变量”信访化解目标。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任务4：对全区信访矛盾纠纷每月集中排查一次，特护期不定期排查。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任务5：积极协调处理重大信访突出问题。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2" w:lineRule="atLeast"/>
              <w:ind w:right="0"/>
              <w:jc w:val="both"/>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任务6：及时甄别信访诉求，确定有权处理机关及时受理并作出行政处理或信访处理意见。</w:t>
            </w:r>
          </w:p>
        </w:tc>
        <w:tc>
          <w:tcPr>
            <w:tcW w:w="4585" w:type="dxa"/>
            <w:gridSpan w:val="9"/>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1：推广“党建引领、网格融合、以村为主”，把信访工作与网格化、信息化管理相融合，把网格员“脚板走访”与微信群“网络对话”相融合，有效促进了“三无”县区和镇（街道）创建质量的大提升。</w:t>
            </w:r>
          </w:p>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完成情况2：推进“双向规范”，按照“三到位一处理”原则，加大对涉访涉法行为的打击处理，大力规范信访秩序，依法处置1人，教育训诫5人，治安拘留14人。</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完成情况3：办理初信初访177批562人次，办结率达91%，群众满意率达99.4%，督查督办147件；有效化解信访积案4件，化解率28.6%；大幅消化存量，提高来信来访办结率，全年办结率达99.4%。</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完成情况4：全年共组织开展矛盾纠纷排查12次，集中开展包案化解5次，向市信访联席办、区委区政府报送信访预警信息8条。</w:t>
            </w:r>
          </w:p>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完成情况5：完成固废垃圾填埋场、野生动物退养等重大信访问题；全年共及时调度组织到北京接返9批17人次，到省接返7批23人次，到市接返15批136人次。</w:t>
            </w:r>
          </w:p>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完成情况6：推动法定途径分类处理信访问题工作；充分发挥诉讼、仲裁、行政复议等其他法定途径作用，依法及时解决群众合理诉求。</w:t>
            </w:r>
            <w:r>
              <w:rPr>
                <w:rFonts w:hint="eastAsia" w:ascii="仿宋" w:hAnsi="仿宋" w:eastAsia="仿宋" w:cs="仿宋"/>
                <w:sz w:val="32"/>
                <w:szCs w:val="32"/>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全区镇（街道）符合市级</w:t>
            </w:r>
            <w:r>
              <w:rPr>
                <w:rFonts w:hint="eastAsia" w:ascii="仿宋_GB2312" w:hAnsi="仿宋_GB2312" w:eastAsia="仿宋_GB2312" w:cs="仿宋_GB2312"/>
                <w:color w:val="000000"/>
                <w:sz w:val="24"/>
              </w:rPr>
              <w:t>“三无”乡镇创建</w:t>
            </w:r>
            <w:r>
              <w:rPr>
                <w:rFonts w:hint="eastAsia" w:ascii="仿宋_GB2312" w:hAnsi="仿宋_GB2312" w:eastAsia="仿宋_GB2312" w:cs="仿宋_GB2312"/>
                <w:color w:val="000000"/>
                <w:sz w:val="24"/>
                <w:lang w:val="en-US" w:eastAsia="zh-CN"/>
              </w:rPr>
              <w:t>标准率≥95%</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指标2：初信初访</w:t>
            </w:r>
            <w:r>
              <w:rPr>
                <w:rFonts w:hint="eastAsia" w:ascii="仿宋_GB2312" w:hAnsi="仿宋_GB2312" w:eastAsia="仿宋_GB2312" w:cs="仿宋_GB2312"/>
                <w:color w:val="000000"/>
                <w:sz w:val="24"/>
                <w:lang w:eastAsia="zh-CN"/>
              </w:rPr>
              <w:t>办结率</w:t>
            </w:r>
            <w:r>
              <w:rPr>
                <w:rFonts w:hint="eastAsia" w:ascii="仿宋_GB2312" w:hAnsi="仿宋_GB2312" w:eastAsia="仿宋_GB2312" w:cs="仿宋_GB2312"/>
                <w:color w:val="000000"/>
                <w:sz w:val="24"/>
                <w:lang w:val="en-US" w:eastAsia="zh-CN"/>
              </w:rPr>
              <w:t>≥90%</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信访积案化解率≥25%</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val="en-US" w:eastAsia="zh-CN"/>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矛盾纠纷排查率≥90%</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符合市级</w:t>
            </w:r>
            <w:r>
              <w:rPr>
                <w:rFonts w:hint="eastAsia" w:ascii="仿宋_GB2312" w:hAnsi="仿宋_GB2312" w:eastAsia="仿宋_GB2312" w:cs="仿宋_GB2312"/>
                <w:color w:val="000000"/>
                <w:sz w:val="24"/>
              </w:rPr>
              <w:t>“三无”乡镇</w:t>
            </w:r>
            <w:r>
              <w:rPr>
                <w:rFonts w:hint="eastAsia" w:ascii="仿宋_GB2312" w:hAnsi="仿宋_GB2312" w:eastAsia="仿宋_GB2312" w:cs="仿宋_GB2312"/>
                <w:color w:val="000000"/>
                <w:sz w:val="24"/>
                <w:lang w:val="en-US" w:eastAsia="zh-CN"/>
              </w:rPr>
              <w:t>（街道）数量≥4个</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指标2：接待初信初访≥500人次</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562人次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信访积案化解数量≥3件</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sz w:val="24"/>
                <w:lang w:val="en-US" w:eastAsia="zh-CN"/>
              </w:rPr>
              <w:t>4件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矛盾纠纷排查次数≥10次</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在12月31日完成</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在12月31日完成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未超当年收入预算</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未超当年收入预算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信访批次下降率≥50%</w:t>
            </w:r>
          </w:p>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为农民工讨薪≥1800万元</w:t>
            </w:r>
          </w:p>
        </w:tc>
        <w:tc>
          <w:tcPr>
            <w:tcW w:w="2684" w:type="dxa"/>
            <w:gridSpan w:val="6"/>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信访批次下降54.9%</w:t>
            </w:r>
          </w:p>
          <w:p>
            <w:pPr>
              <w:autoSpaceDN w:val="0"/>
              <w:spacing w:line="320" w:lineRule="exact"/>
              <w:jc w:val="both"/>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为农民工讨薪1900万元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群众满意率≥95%</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群众满意率97.4%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奇</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信访局副局长</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信访局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卢</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晶</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四级主任科员、办公室主任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信访局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甘超峰</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督查督访室主任</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信访局</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r>
              <w:rPr>
                <w:rFonts w:hint="eastAsia" w:eastAsia="仿宋_GB2312"/>
                <w:b/>
                <w:bCs/>
                <w:sz w:val="28"/>
                <w:szCs w:val="28"/>
              </w:rPr>
              <w:t>（</w:t>
            </w:r>
            <w:r>
              <w:rPr>
                <w:rFonts w:hint="eastAsia" w:eastAsia="仿宋_GB2312"/>
                <w:b/>
                <w:bCs/>
                <w:sz w:val="28"/>
                <w:szCs w:val="28"/>
                <w:lang w:eastAsia="zh-CN"/>
              </w:rPr>
              <w:t>参考提纲</w:t>
            </w:r>
            <w:r>
              <w:rPr>
                <w:rFonts w:hint="eastAsia" w:eastAsia="仿宋_GB2312"/>
                <w:b/>
                <w:bCs/>
                <w:sz w:val="28"/>
                <w:szCs w:val="28"/>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一、部门（单位）概况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岳阳市云溪区信访局是岳阳市云溪区人民政府工作部门，主要职责为：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（1）负责处理人民群众给区委、区政府及其领导同志的来信，接待处理群众来信、来访、网络信访，为领导同志接待上访群众做好组织服务工作。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（2）承办中央、省、市和区委、区政府交办的信访事项，向镇(办）和部门交办信访事项，督促检查处理落实情况。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（3）办理区本级信访事项复查复核，指导全区信访事项复查复核工作。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（4）综合、反映群众信访中提出的重要意见、建议和问题，开展调查研究，为区委、区政府提供信访信息。</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（5）协同有关部门处理跨地区、跨部门的重大信访问题，协调处理群众到区到市、赴省进京上访，协调全区各级党政机关的信访工作。</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（6）开展信访工作宣传和调研；指导全区信访工作业务，总结推广信访工作经验，提出加强和改进信访工作的建议意见。</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（7）掌握全区信访工作队伍建设情况，提出加强信访队伍建设措施，对信访工作中失职、渎职行为提出处理建议，组织信访干部培训，指导信访部门办公自动化建设。</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（8）完成区委、区政府交办的其他任务。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lang w:val="en-US" w:eastAsia="zh-CN"/>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本部门2020年一般公共预算财政拨款收入200.2万元，无政府性基金拨款等收入。全年支出200.2万元，其中：</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（一）基本支出</w:t>
            </w:r>
            <w:r>
              <w:rPr>
                <w:rFonts w:hint="eastAsia" w:ascii="宋体" w:hAnsi="宋体" w:eastAsia="宋体" w:cs="宋体"/>
                <w:bCs/>
                <w:sz w:val="24"/>
                <w:szCs w:val="24"/>
                <w:lang w:eastAsia="zh-CN"/>
              </w:rPr>
              <w:t>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基本支出132.9万元，占比66.38%。其中，工资福利支出99.32万元，占比74.73%；商品和服务支出33.58万元，占比25.27%。</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（二）</w:t>
            </w:r>
            <w:r>
              <w:rPr>
                <w:rFonts w:hint="eastAsia" w:ascii="宋体" w:hAnsi="宋体" w:eastAsia="宋体" w:cs="宋体"/>
                <w:bCs/>
                <w:sz w:val="24"/>
                <w:szCs w:val="24"/>
                <w:lang w:eastAsia="zh-CN"/>
              </w:rPr>
              <w:t>项目</w:t>
            </w:r>
            <w:r>
              <w:rPr>
                <w:rFonts w:hint="eastAsia" w:ascii="宋体" w:hAnsi="宋体" w:eastAsia="宋体" w:cs="宋体"/>
                <w:bCs/>
                <w:sz w:val="24"/>
                <w:szCs w:val="24"/>
              </w:rPr>
              <w:t>支出</w:t>
            </w:r>
            <w:r>
              <w:rPr>
                <w:rFonts w:hint="eastAsia" w:ascii="宋体" w:hAnsi="宋体" w:eastAsia="宋体" w:cs="宋体"/>
                <w:bCs/>
                <w:sz w:val="24"/>
                <w:szCs w:val="24"/>
                <w:lang w:eastAsia="zh-CN"/>
              </w:rPr>
              <w:t>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项目支出67.3万元，占比33.62%。主要是维稳经费和群体性事件及其他信访接待处理专项经费支出。在项目资金的使用过程中，我局严格按照财政专项资金管理办法制定了相应的内部管理制度和流程，资金的拨付有完成的审批程序和手续；支出符合部门预算批复的用途，且不存在截留、挤占、挪用、虚列支出等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三、政府性基金预算支出情况</w:t>
            </w:r>
          </w:p>
          <w:p>
            <w:pPr>
              <w:pStyle w:val="5"/>
              <w:widowControl/>
              <w:spacing w:before="0" w:beforeAutospacing="0" w:after="0" w:afterAutospacing="0" w:line="33" w:lineRule="atLeast"/>
              <w:ind w:firstLine="480" w:firstLineChars="200"/>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2020年无政府性基金预算支出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四、国有资本经营预算支出情况</w:t>
            </w:r>
          </w:p>
          <w:p>
            <w:pPr>
              <w:pStyle w:val="5"/>
              <w:widowControl/>
              <w:spacing w:before="0" w:beforeAutospacing="0" w:after="0" w:afterAutospacing="0" w:line="33" w:lineRule="atLeast"/>
              <w:ind w:firstLine="480" w:firstLineChars="200"/>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2020年无国有资本经营预算支出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五、社会保险基金预算支出情况</w:t>
            </w:r>
          </w:p>
          <w:p>
            <w:pPr>
              <w:pStyle w:val="5"/>
              <w:widowControl/>
              <w:spacing w:before="0" w:beforeAutospacing="0" w:after="0" w:afterAutospacing="0" w:line="33" w:lineRule="atLeast"/>
              <w:ind w:firstLine="480" w:firstLineChars="200"/>
              <w:jc w:val="both"/>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2020年无社会保险基金预算支出</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Cs/>
                <w:sz w:val="24"/>
                <w:szCs w:val="24"/>
                <w:lang w:val="en-US" w:eastAsia="zh-CN"/>
              </w:rPr>
            </w:pPr>
            <w:r>
              <w:rPr>
                <w:rFonts w:hint="eastAsia" w:ascii="黑体" w:hAnsi="黑体" w:eastAsia="黑体" w:cs="黑体"/>
                <w:bCs/>
                <w:sz w:val="24"/>
                <w:szCs w:val="24"/>
                <w:lang w:val="en-US" w:eastAsia="zh-CN"/>
              </w:rPr>
              <w:t>六、部门整体支出绩效情况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今年来，在省、市信访局的大力支持、精心指导和区委、区政府的高度重视下，我局坚持以习近平新时代中国特色社会主义思想为指导，深入学习贯彻习近平总书记关于加强和改进人民信访工作重要思想，坚持以人民为中心的新发展理念，紧紧围绕全区工作大局，真抓实干，持续推进“阳光信访”、“责任信访”、“法治信访”建设。全年共接待信访群众376批1213人次，同比批次下降54.9%、人次下降27.97%,</w:t>
            </w:r>
            <w:r>
              <w:rPr>
                <w:rFonts w:hint="eastAsia" w:ascii="宋体" w:hAnsi="宋体" w:eastAsia="宋体" w:cs="宋体"/>
                <w:bCs/>
                <w:sz w:val="24"/>
                <w:szCs w:val="24"/>
                <w:lang w:val="zh-CN" w:eastAsia="zh-CN"/>
              </w:rPr>
              <w:t>信访形势总体平稳可控</w:t>
            </w:r>
            <w:r>
              <w:rPr>
                <w:rFonts w:hint="eastAsia" w:ascii="宋体" w:hAnsi="宋体" w:eastAsia="宋体" w:cs="宋体"/>
                <w:bCs/>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处访办信</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1.巩固提升信访“三无”县市区创建成果。全面启动区直、驻区单位以及村（社区）信访工作“三无”创建，以及推广“党建引领、网格融合、以村为主”，将服务管理的资源下沉到村(社区)一级，把信访工作与网格化、信息化管理相融合，把网格员“脚板走访”与微信群“网络对话”相融合，疏通基层信访“微循环”，推动将矛盾纠纷化解在早、化解在小、化解在当地等系列做法，有效促进了“三无”县区和镇（街道）创建质量的大提升，除国家和省级“三无”创建因养蛇户进京集访而功亏一篑外，全区5个镇（街道）全部符合市级“三无”乡镇创建标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热情接待群众来访，认真办理群众信访事项，主动跟进国家、省、市信访部门关于全面放开网上投诉受理和依法引导群众逐级走访工作部署，推进“双向规范”，按照“三到位一处理”原则，加大对涉访涉法行为的打击处理，大力规范信访秩序，依法处置1名多年涉嫌敲诈政府、反复违法越级上访的当事人，教育训诫5人，对组织煽动群众阻挠重点工程建设的14名挑头人员给予治安拘留。</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3.进一步规范完善了部门单位联合接访机制，完善了首办负责制、联合会商制度、信访听证制度、社会力量参与和教育疏导等运行机制；加大初信初访办理力度，共办理初信初访177批562人次，办结率达91%，群众满意率达99.4%，督查督办147件，基本实现“最多访一次”目标；加大信访积案化解力度，有效化解信访积案4件，化解率28.6%，完成了国家、省信访局规定的25%的目标。大幅消化存量，提高上级交办件及区本级来信来访办结率，全年办结率达99.4%。</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矛盾纠纷排查化解</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1.加强基层基础工作，深化源头治理。深入学习践行“枫桥经验”，坚持“降存量、控增量、防变量”信访化解目标，落实“五包一”包案化解制度，确保“小事不出村、大事不出镇（街）、矛盾不上交”。</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对全区信访矛盾纠纷每月集中排查一次，特护期不定期排查，严格落实信访预警信息报送制度。全年共组织开展矛盾纠纷排查12次，集中开展包案化解5次，向市信访联席办、区委区政府报送固废垃圾填埋场、“尚富”投资、野生动物退养、63路公交车开通等信访预警信息8条，增强信访工作的预见性、针对性和时效性。</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协调服务领导接访约访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制定全区党政领导定期接访活动方案和区级领导信访接待日安排，做好领导干部接访数据、资料汇总，及时上报有关情况，及时完成交办领导批示22件；推进各级各部门领导干部参与定点接访、重点约访、带案下访、专题接访和领导干部包案及时化解信访问题，今年区级领导包案142个；省委第四、第十巡视组移交的信访案件中有12件实行“一案双包”。</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协调处理重大突出信访问题</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积极协调处理重大信访突出问题，如固废垃圾填埋场、野生动物退养、“尚富”投资受损群体、63路公交车开通等重大信访问题，并结合实际提出处理意见，及时组织做好越级上访群众的劝返工作，全年共及时调度组织到北京接返9批17人次，到省接返7批23人次，到市接返15批136人次，接返工作得到市驻京办和省市信访部门的一致认可。经区信访工作联席会议研究后报请区级领导包案处理重大突出信访问题10个，其中省委巡视组移交9个。</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信息调研</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深入调研，及时报告了路口固废填埋场保护性施工、尚富投资群体维权、野生动物（蛇类）养殖群体维权、63路公交车开通、杨海波违建拆除引发访情等5次重大信访信息，做好信访形势研判，为领导决策信访维稳工作提供准确的预警。</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依法分类处理信访诉求</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推动法定途径分类处理信访问题工作。及时甄别信访诉求，确定有权处理机关及时受理并作出行政处理或信访处理意见。充分发挥诉讼、仲裁、行政复议等其他法定途径作用，依法及时解决群众合理诉求。 </w:t>
            </w:r>
          </w:p>
          <w:p>
            <w:pPr>
              <w:pStyle w:val="9"/>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黑体" w:hAnsi="黑体" w:eastAsia="黑体" w:cs="黑体"/>
                <w:sz w:val="24"/>
                <w:szCs w:val="24"/>
              </w:rPr>
            </w:pPr>
            <w:r>
              <w:rPr>
                <w:rFonts w:hint="eastAsia" w:ascii="黑体" w:hAnsi="黑体" w:eastAsia="黑体" w:cs="黑体"/>
                <w:sz w:val="24"/>
                <w:szCs w:val="24"/>
              </w:rPr>
              <w:t>七、存在的问题及原因分析</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局在预算管理，尤其是预算编制和预算执行中，较财政尚存在一定的差距。主要原因是在预算编制过程中，由财务部门为主导，业务部门未深度参与，未到达真正的业财融合，使得预算在财政批复后的执行过程中，与实际情况存在差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八、下一步改进措施</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加强预算绩效管理，强化预算执行刚性约束。提高业务部门的预算管理意识。业务部门提出年度预算需求时，应根据年度工作计划细化编制本部门预算，提高预算编制的科学性、合理性和全面性，尽量减少预算调整率；财务部门应增强预算执行的时效性，根据时间节点及时通报预算执行进度，严格预算执行。</w:t>
            </w:r>
          </w:p>
          <w:p>
            <w:pPr>
              <w:keepNext w:val="0"/>
              <w:keepLines w:val="0"/>
              <w:pageBreakBefore w:val="0"/>
              <w:numPr>
                <w:ilvl w:val="0"/>
                <w:numId w:val="2"/>
              </w:numPr>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其他需要说明的情况</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无其他需要说明的情况。</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黑体" w:hAnsi="黑体" w:eastAsia="黑体" w:cs="黑体"/>
                <w:bCs/>
                <w:sz w:val="28"/>
                <w:szCs w:val="28"/>
                <w:lang w:val="en-US" w:eastAsia="zh-CN"/>
              </w:rPr>
            </w:pPr>
          </w:p>
        </w:tc>
      </w:tr>
    </w:tbl>
    <w:p>
      <w:pPr>
        <w:spacing w:line="348" w:lineRule="auto"/>
        <w:rPr>
          <w:rFonts w:eastAsia="楷体_GB2312"/>
          <w:bCs/>
          <w:sz w:val="28"/>
          <w:szCs w:val="28"/>
        </w:rPr>
      </w:pPr>
    </w:p>
    <w:p>
      <w:pPr>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部分无使用价值的资产，尚未进行处置报废。</w:t>
            </w: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ascii="仿宋_GB2312" w:hAnsi="宋体" w:eastAsia="仿宋_GB2312" w:cs="宋体"/>
                <w:kern w:val="0"/>
                <w:sz w:val="18"/>
                <w:szCs w:val="18"/>
              </w:rPr>
              <w:t>固定资产需提高利用率</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w:t>
            </w:r>
            <w:r>
              <w:rPr>
                <w:rFonts w:hint="eastAsia" w:ascii="仿宋_GB2312" w:hAnsi="宋体" w:eastAsia="仿宋_GB2312" w:cs="宋体"/>
                <w:kern w:val="0"/>
                <w:sz w:val="18"/>
                <w:szCs w:val="18"/>
                <w:lang w:eastAsia="zh-CN"/>
              </w:rPr>
              <w:t>做好</w:t>
            </w:r>
            <w:r>
              <w:rPr>
                <w:rFonts w:hint="eastAsia" w:ascii="仿宋_GB2312" w:hAnsi="宋体" w:eastAsia="仿宋_GB2312" w:cs="宋体"/>
                <w:kern w:val="0"/>
                <w:sz w:val="18"/>
                <w:szCs w:val="18"/>
              </w:rPr>
              <w:t>岳阳市云溪区</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年度综合绩效考核工作的通知》（岳云发〔</w:t>
            </w:r>
            <w:r>
              <w:rPr>
                <w:rFonts w:hint="eastAsia" w:ascii="仿宋_GB2312" w:hAnsi="宋体" w:eastAsia="仿宋_GB2312" w:cs="宋体"/>
                <w:kern w:val="0"/>
                <w:sz w:val="18"/>
                <w:szCs w:val="18"/>
                <w:lang w:val="en-US" w:eastAsia="zh-CN"/>
              </w:rPr>
              <w:t>2020</w:t>
            </w:r>
            <w:r>
              <w:rPr>
                <w:rFonts w:hint="eastAsia" w:ascii="仿宋_GB2312" w:hAnsi="宋体" w:eastAsia="仿宋_GB2312" w:cs="宋体"/>
                <w:kern w:val="0"/>
                <w:sz w:val="18"/>
                <w:szCs w:val="18"/>
              </w:rPr>
              <w:t>〕</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200" w:lineRule="exact"/>
        <w:contextualSpacing/>
        <w:jc w:val="right"/>
        <w:rPr>
          <w:rFonts w:hint="eastAsia" w:eastAsia="仿宋_GB2312"/>
          <w:sz w:val="32"/>
        </w:rPr>
      </w:pPr>
    </w:p>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2</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37</w:t>
    </w:r>
    <w:r>
      <w:rPr>
        <w:sz w:val="24"/>
        <w:szCs w:val="24"/>
      </w:rPr>
      <w:fldChar w:fldCharType="end"/>
    </w:r>
    <w:r>
      <w:rPr>
        <w:rStyle w:val="8"/>
        <w:rFonts w:hint="eastAsia"/>
        <w:sz w:val="24"/>
        <w:szCs w:val="24"/>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34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9BA88"/>
    <w:multiLevelType w:val="singleLevel"/>
    <w:tmpl w:val="AEE9BA88"/>
    <w:lvl w:ilvl="0" w:tentative="0">
      <w:start w:val="9"/>
      <w:numFmt w:val="chineseCounting"/>
      <w:suff w:val="nothing"/>
      <w:lvlText w:val="%1、"/>
      <w:lvlJc w:val="left"/>
      <w:rPr>
        <w:rFonts w:hint="eastAsia"/>
      </w:rPr>
    </w:lvl>
  </w:abstractNum>
  <w:abstractNum w:abstractNumId="1">
    <w:nsid w:val="54167F72"/>
    <w:multiLevelType w:val="singleLevel"/>
    <w:tmpl w:val="54167F7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277D5"/>
    <w:rsid w:val="023277D5"/>
    <w:rsid w:val="02A87807"/>
    <w:rsid w:val="02E21F3F"/>
    <w:rsid w:val="02F56E2B"/>
    <w:rsid w:val="09C93314"/>
    <w:rsid w:val="0C3C44CC"/>
    <w:rsid w:val="127B5BCF"/>
    <w:rsid w:val="18B712D0"/>
    <w:rsid w:val="1A180E2C"/>
    <w:rsid w:val="1B4A0806"/>
    <w:rsid w:val="1F3961ED"/>
    <w:rsid w:val="1F8E5D1E"/>
    <w:rsid w:val="2556439A"/>
    <w:rsid w:val="30064DE9"/>
    <w:rsid w:val="363614A9"/>
    <w:rsid w:val="383A7CDC"/>
    <w:rsid w:val="42050B40"/>
    <w:rsid w:val="43D51644"/>
    <w:rsid w:val="475D14A5"/>
    <w:rsid w:val="4A9A5FF2"/>
    <w:rsid w:val="5105046A"/>
    <w:rsid w:val="54881BD9"/>
    <w:rsid w:val="5693293A"/>
    <w:rsid w:val="58B478A1"/>
    <w:rsid w:val="58B7412D"/>
    <w:rsid w:val="5A0C4963"/>
    <w:rsid w:val="6E89680E"/>
    <w:rsid w:val="6F9F16DD"/>
    <w:rsid w:val="72C635B6"/>
    <w:rsid w:val="764535D9"/>
    <w:rsid w:val="7D34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0"/>
      <w:ind w:left="0"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 w:type="paragraph" w:styleId="9">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2021-10-28T06:53:00Z</dcterms:created>
  <dc:creator>Jesiy</dc:creator>
  <cp:lastModifiedBy>Jesiy</cp:lastModifiedBy>
  <cp:lastPrinted>2021-10-28T08:22:00Z</cp:lastPrinted>
  <dcterms:modified xsi:type="dcterms:W3CDTF">2021-10-29T02:50:09Z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1D245DD426274128AFF462C4953E060E</vt:lpwstr>
  </property>
</Properties>
</file>