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800" w:lineRule="exact"/>
        <w:jc w:val="center"/>
        <w:rPr>
          <w:rFonts w:eastAsia="方正小标宋简体"/>
          <w:bCs/>
          <w:sz w:val="46"/>
          <w:szCs w:val="46"/>
        </w:rPr>
      </w:pPr>
      <w:r>
        <w:rPr>
          <w:rFonts w:hint="eastAsia" w:eastAsia="方正小标宋简体"/>
          <w:bCs/>
          <w:sz w:val="46"/>
          <w:szCs w:val="46"/>
        </w:rPr>
        <w:t>岳阳市云溪区</w:t>
      </w:r>
      <w:r>
        <w:rPr>
          <w:rFonts w:hint="eastAsia" w:eastAsia="方正小标宋简体"/>
          <w:bCs/>
          <w:sz w:val="46"/>
          <w:szCs w:val="46"/>
          <w:u w:val="single"/>
        </w:rPr>
        <w:t>2020</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r>
        <w:rPr>
          <w:rFonts w:hint="eastAsia" w:eastAsia="仿宋_GB2312"/>
          <w:b/>
          <w:sz w:val="32"/>
        </w:rPr>
        <w:t xml:space="preserve"> </w:t>
      </w: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岳阳市云溪区应急管理局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082001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报告日期：2021年 7月25日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李小红</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8414589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职能职责概述</w:t>
            </w:r>
          </w:p>
        </w:tc>
        <w:tc>
          <w:tcPr>
            <w:tcW w:w="8146" w:type="dxa"/>
            <w:gridSpan w:val="15"/>
            <w:vAlign w:val="center"/>
          </w:tcPr>
          <w:p>
            <w:pPr>
              <w:spacing w:line="540" w:lineRule="exact"/>
              <w:ind w:firstLine="480" w:firstLineChars="200"/>
              <w:rPr>
                <w:rFonts w:ascii="仿宋_GB2312" w:hAnsi="仿宋" w:eastAsia="仿宋_GB2312" w:cs="仿宋"/>
                <w:color w:val="000000"/>
                <w:sz w:val="24"/>
              </w:rPr>
            </w:pPr>
            <w:r>
              <w:rPr>
                <w:rFonts w:hint="eastAsia" w:ascii="仿宋_GB2312" w:hAnsi="仿宋" w:eastAsia="仿宋_GB2312" w:cs="仿宋"/>
                <w:color w:val="000000"/>
                <w:sz w:val="24"/>
              </w:rPr>
              <w:t>1.负责应急管理工作，指导全区各级各部门应对安全生产类、自然灾害类等突发事件和综合防灾减灾救灾工作；负责安全生产综合监督管理和工矿商贸行业安全生产监督管理工作。</w:t>
            </w:r>
          </w:p>
          <w:p>
            <w:pPr>
              <w:spacing w:line="540" w:lineRule="exact"/>
              <w:ind w:firstLine="480" w:firstLineChars="200"/>
              <w:rPr>
                <w:rFonts w:ascii="仿宋_GB2312" w:hAnsi="仿宋" w:eastAsia="仿宋_GB2312" w:cs="仿宋"/>
                <w:color w:val="000000"/>
                <w:sz w:val="24"/>
              </w:rPr>
            </w:pPr>
            <w:r>
              <w:rPr>
                <w:rFonts w:hint="eastAsia" w:ascii="仿宋_GB2312" w:hAnsi="仿宋" w:eastAsia="仿宋_GB2312" w:cs="仿宋"/>
                <w:color w:val="000000"/>
                <w:sz w:val="24"/>
              </w:rPr>
              <w:t>2.贯彻实施相关法律法规、部门规章、规程和标准，组织编制全区应急体系建设、安全生产和综合防灾减灾规划；组织起草地方相关规范性文件，组织拟订相关政策、规程和标准并监督实施。</w:t>
            </w:r>
          </w:p>
          <w:p>
            <w:pPr>
              <w:spacing w:line="540" w:lineRule="exact"/>
              <w:ind w:firstLine="480" w:firstLineChars="200"/>
              <w:rPr>
                <w:rFonts w:ascii="仿宋_GB2312" w:hAnsi="仿宋" w:eastAsia="仿宋_GB2312" w:cs="仿宋"/>
                <w:color w:val="000000"/>
                <w:sz w:val="24"/>
              </w:rPr>
            </w:pPr>
            <w:r>
              <w:rPr>
                <w:rFonts w:hint="eastAsia" w:ascii="仿宋_GB2312" w:hAnsi="仿宋" w:eastAsia="仿宋_GB2312" w:cs="仿宋"/>
                <w:color w:val="000000"/>
                <w:sz w:val="24"/>
              </w:rPr>
              <w:t>3.指导应急预案体系建设，建立完善事故灾难和自然灾害分级应对制度，组织编制云溪区总体应急预案和安全生产类、自然灾害类专项预案，综合协调应急预案衔接工作，组织开展预案演练，推动应急避难设施建设。</w:t>
            </w:r>
          </w:p>
          <w:p>
            <w:pPr>
              <w:spacing w:line="540" w:lineRule="exact"/>
              <w:ind w:firstLine="480" w:firstLineChars="200"/>
              <w:rPr>
                <w:rFonts w:ascii="仿宋_GB2312" w:hAnsi="仿宋" w:eastAsia="仿宋_GB2312" w:cs="仿宋"/>
                <w:color w:val="000000"/>
                <w:sz w:val="24"/>
              </w:rPr>
            </w:pPr>
            <w:r>
              <w:rPr>
                <w:rFonts w:hint="eastAsia" w:ascii="仿宋_GB2312" w:hAnsi="仿宋" w:eastAsia="仿宋_GB2312" w:cs="仿宋"/>
                <w:color w:val="000000"/>
                <w:sz w:val="24"/>
              </w:rPr>
              <w:t>4.牵头建立全区统一的应急管理信息系统，负责信息传输渠道的规划和布局，建立监测预警和灾情报告制度，健全自然灾害信息资源获取和共享机制，依法统一发布灾情。</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5.组织指导协调安全生产类、自然灾害类等突发事件应急救援，承担区应对一般及较大灾害指挥部工作，综合研判突发事件发展态势并提出应对建议，协助区委、区政府指定的负责同志组织灾害应急处置工作。</w:t>
            </w:r>
          </w:p>
          <w:p>
            <w:pPr>
              <w:spacing w:line="540" w:lineRule="exact"/>
              <w:ind w:firstLine="480" w:firstLineChars="200"/>
              <w:rPr>
                <w:rFonts w:ascii="仿宋_GB2312" w:hAnsi="仿宋" w:eastAsia="仿宋_GB2312" w:cs="仿宋"/>
                <w:color w:val="000000"/>
                <w:sz w:val="24"/>
              </w:rPr>
            </w:pPr>
            <w:r>
              <w:rPr>
                <w:rFonts w:hint="eastAsia" w:ascii="仿宋_GB2312" w:hAnsi="仿宋" w:eastAsia="仿宋_GB2312" w:cs="仿宋"/>
                <w:color w:val="000000"/>
                <w:sz w:val="24"/>
              </w:rPr>
              <w:t>6.统一协调指挥各类应急专业队伍，建立应急协调联动机制，推进指挥平台对接，负责做好解放军和武警部队参与应急援相关衔接工作。</w:t>
            </w:r>
            <w:r>
              <w:rPr>
                <w:rFonts w:hint="eastAsia" w:ascii="仿宋_GB2312" w:hAnsi="仿宋" w:eastAsia="仿宋_GB2312" w:cs="仿宋"/>
                <w:color w:val="000000"/>
                <w:sz w:val="24"/>
              </w:rPr>
              <w:br w:type="textWrapping"/>
            </w:r>
            <w:r>
              <w:rPr>
                <w:rFonts w:hint="eastAsia" w:ascii="仿宋_GB2312" w:hAnsi="仿宋" w:eastAsia="仿宋_GB2312" w:cs="仿宋"/>
                <w:color w:val="000000"/>
                <w:sz w:val="24"/>
              </w:rPr>
              <w:t xml:space="preserve">    7.统筹全区应急救援力量建设，负责森林火灾扑救、抗洪抢险、地震和地质灾害救援、生产安全事故救援等专业应急救援力量建设；协助管理和指导、协调全区综合性消防救援队伍。</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8.组织协调消防工作。指导全区火灾预防、火灾扑救等工作。</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9.指导协调全区森林火灾、水旱灾害、地震和地质灾害等防治工作，负责自然灾害综合监测预警工作，指导开展自然灾害综合风险评估工作。</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10.组织协调灾害救助工作，组织指导灾情核查、损失评估、救灾捐赠工作，按权限管理，分配中央、省、市下达和区级救灾款物并监督使用。</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11.承担区安全生产委员会日常工作，依法行使安全生产综合监督管理职权，指导协调、监督检查区政府有关部门和各镇（街道）、管委会安全生产工作，组织开展安全生产督查、考核工作。</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12.按照分级、属地原则，依法监督检查工矿商贸生产经营单位贯彻执行安全生产法律法规规章情况及其安全生产条件和有关设备（特种设备除外）、材料、劳动防护用品的安全生产管理工作；负责监督管理工矿商贸行业区属企业安全生产工作；依法组织和指导监督实施安全生产准入制度；负责危险化学品安全监督管理综合工作和烟花爆竹安全生产监督管理工作。</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13.依法组织指导生产安全事故调查处理，监督事故查处和责任追究落实情况；组织开展自然灾害类突发事件的调查评估工作。</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14.开展应急管理对外交流与合作，组织参与安全生产类、自然灾害类等突发事件的对外救援工作。</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15.制定全区应急物资储备和应急救援装备规划并组织实施，会同区商粮局建立健全应急物资信息平台和调拨制度，在救灾时统一调度。</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16.负责应急管理、安全生产宣传教育和培训工作，组织指导应急管理、安全生产的科学技术研究、推广应用和信息化建设工作。</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17.承担区防汛抗旱指挥部日常工作，协调区防汛抗旱指挥部成员单位的相关工作，组织执行国家防汛抗旱总指挥部、相关流域防汛抗旱指挥机构和省、市、区防汛抗旱指挥部的指示、命令。</w:t>
            </w:r>
          </w:p>
          <w:p>
            <w:pPr>
              <w:spacing w:line="540" w:lineRule="exact"/>
              <w:rPr>
                <w:rFonts w:ascii="仿宋_GB2312" w:hAnsi="仿宋" w:eastAsia="仿宋_GB2312" w:cs="仿宋"/>
                <w:color w:val="000000"/>
                <w:sz w:val="24"/>
              </w:rPr>
            </w:pPr>
            <w:r>
              <w:rPr>
                <w:rFonts w:hint="eastAsia" w:ascii="仿宋_GB2312" w:hAnsi="仿宋" w:eastAsia="仿宋_GB2312" w:cs="仿宋"/>
                <w:color w:val="000000"/>
                <w:sz w:val="24"/>
              </w:rPr>
              <w:t xml:space="preserve">     18.完成区委、区政府交办的其他任务。</w:t>
            </w:r>
          </w:p>
          <w:p>
            <w:pPr>
              <w:spacing w:line="540" w:lineRule="exact"/>
              <w:rPr>
                <w:rFonts w:ascii="仿宋" w:hAnsi="仿宋" w:eastAsia="仿宋" w:cs="仿宋"/>
                <w:color w:val="000000"/>
                <w:sz w:val="24"/>
              </w:rPr>
            </w:pPr>
            <w:r>
              <w:rPr>
                <w:rFonts w:hint="eastAsia" w:ascii="仿宋_GB2312" w:hAnsi="仿宋" w:eastAsia="仿宋_GB2312" w:cs="仿宋"/>
                <w:color w:val="000000"/>
                <w:sz w:val="24"/>
              </w:rPr>
              <w:t xml:space="preserve">     19.职能转变。区应急局应加强、优化、统筹全区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提高全区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年度主要</w:t>
            </w:r>
          </w:p>
          <w:p>
            <w:pPr>
              <w:autoSpaceDN w:val="0"/>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工作内容</w:t>
            </w:r>
          </w:p>
        </w:tc>
        <w:tc>
          <w:tcPr>
            <w:tcW w:w="8146" w:type="dxa"/>
            <w:gridSpan w:val="15"/>
            <w:vAlign w:val="center"/>
          </w:tcPr>
          <w:p>
            <w:pPr>
              <w:autoSpaceDN w:val="0"/>
              <w:spacing w:line="360" w:lineRule="auto"/>
              <w:jc w:val="left"/>
              <w:textAlignment w:val="center"/>
              <w:rPr>
                <w:rFonts w:ascii="仿宋_GB2312" w:hAnsi="仿宋" w:eastAsia="仿宋_GB2312" w:cs="仿宋"/>
                <w:color w:val="000000"/>
                <w:sz w:val="24"/>
              </w:rPr>
            </w:pPr>
            <w:r>
              <w:rPr>
                <w:rFonts w:hint="eastAsia" w:ascii="仿宋_GB2312" w:hAnsi="仿宋" w:eastAsia="仿宋_GB2312" w:cs="仿宋"/>
                <w:color w:val="000000"/>
                <w:sz w:val="24"/>
              </w:rPr>
              <w:t>任务1：党政重视，抓责任落实</w:t>
            </w:r>
          </w:p>
          <w:p>
            <w:pPr>
              <w:autoSpaceDN w:val="0"/>
              <w:spacing w:line="360" w:lineRule="auto"/>
              <w:jc w:val="left"/>
              <w:textAlignment w:val="center"/>
              <w:rPr>
                <w:rFonts w:ascii="仿宋_GB2312" w:hAnsi="仿宋" w:eastAsia="仿宋_GB2312" w:cs="仿宋"/>
                <w:color w:val="000000"/>
                <w:sz w:val="24"/>
              </w:rPr>
            </w:pPr>
            <w:r>
              <w:rPr>
                <w:rFonts w:hint="eastAsia" w:ascii="仿宋_GB2312" w:hAnsi="仿宋" w:eastAsia="仿宋_GB2312" w:cs="仿宋"/>
                <w:color w:val="000000"/>
                <w:sz w:val="24"/>
              </w:rPr>
              <w:t>任务2：凝聚合力，抓部门联动                                           任务3：有力有序，抓教育培训</w:t>
            </w:r>
          </w:p>
          <w:p>
            <w:pPr>
              <w:autoSpaceDN w:val="0"/>
              <w:spacing w:line="360" w:lineRule="auto"/>
              <w:jc w:val="left"/>
              <w:textAlignment w:val="center"/>
              <w:rPr>
                <w:rFonts w:ascii="仿宋_GB2312" w:hAnsi="仿宋" w:eastAsia="仿宋_GB2312" w:cs="仿宋"/>
                <w:color w:val="000000"/>
                <w:sz w:val="24"/>
              </w:rPr>
            </w:pPr>
            <w:r>
              <w:rPr>
                <w:rFonts w:hint="eastAsia" w:ascii="仿宋_GB2312" w:hAnsi="仿宋" w:eastAsia="仿宋_GB2312" w:cs="仿宋"/>
                <w:color w:val="000000"/>
                <w:sz w:val="24"/>
              </w:rPr>
              <w:t>任务4：落实落细，抓专项整治</w:t>
            </w:r>
          </w:p>
          <w:p>
            <w:pPr>
              <w:autoSpaceDN w:val="0"/>
              <w:spacing w:line="360" w:lineRule="auto"/>
              <w:jc w:val="left"/>
              <w:textAlignment w:val="center"/>
              <w:rPr>
                <w:rFonts w:ascii="仿宋_GB2312" w:hAnsi="仿宋" w:eastAsia="仿宋_GB2312" w:cs="仿宋"/>
                <w:color w:val="000000"/>
                <w:sz w:val="24"/>
              </w:rPr>
            </w:pPr>
            <w:r>
              <w:rPr>
                <w:rFonts w:hint="eastAsia" w:ascii="仿宋_GB2312" w:hAnsi="仿宋" w:eastAsia="仿宋_GB2312" w:cs="仿宋"/>
                <w:color w:val="000000"/>
                <w:sz w:val="24"/>
              </w:rPr>
              <w:t>任务5：依法治安，抓监管执法                                           任务6：重心下沉，抓基层基础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97" w:hRule="atLeast"/>
          <w:jc w:val="center"/>
        </w:trPr>
        <w:tc>
          <w:tcPr>
            <w:tcW w:w="1654" w:type="dxa"/>
            <w:gridSpan w:val="2"/>
            <w:vAlign w:val="center"/>
          </w:tcPr>
          <w:p>
            <w:pPr>
              <w:autoSpaceDN w:val="0"/>
              <w:spacing w:line="320" w:lineRule="exact"/>
              <w:jc w:val="center"/>
              <w:textAlignment w:val="center"/>
              <w:rPr>
                <w:rFonts w:ascii="仿宋" w:hAnsi="仿宋" w:eastAsia="仿宋" w:cs="仿宋"/>
                <w:color w:val="000000"/>
                <w:spacing w:val="-6"/>
                <w:sz w:val="24"/>
              </w:rPr>
            </w:pPr>
            <w:r>
              <w:rPr>
                <w:rFonts w:hint="eastAsia" w:ascii="仿宋" w:hAnsi="仿宋" w:eastAsia="仿宋" w:cs="仿宋"/>
                <w:color w:val="000000"/>
                <w:spacing w:val="-6"/>
                <w:sz w:val="24"/>
              </w:rPr>
              <w:t>年度部门（单位）总体运行情况及取得的成绩</w:t>
            </w:r>
          </w:p>
        </w:tc>
        <w:tc>
          <w:tcPr>
            <w:tcW w:w="8146" w:type="dxa"/>
            <w:gridSpan w:val="15"/>
            <w:vAlign w:val="center"/>
          </w:tcPr>
          <w:p>
            <w:pPr>
              <w:spacing w:line="580" w:lineRule="exact"/>
              <w:ind w:firstLine="480" w:firstLineChars="200"/>
              <w:rPr>
                <w:rFonts w:ascii="仿宋_GB2312" w:hAnsi="仿宋" w:eastAsia="仿宋_GB2312" w:cs="仿宋"/>
                <w:sz w:val="24"/>
              </w:rPr>
            </w:pPr>
            <w:r>
              <w:rPr>
                <w:rFonts w:hint="eastAsia" w:ascii="仿宋_GB2312" w:hAnsi="仿宋" w:eastAsia="仿宋_GB2312" w:cs="仿宋"/>
                <w:sz w:val="24"/>
              </w:rPr>
              <w:t>今年来，我区认真贯彻落实习近平总书记关于安全生产的重要论述和指示批示精神，严格按照上级关于安全生产的系列工作部署，始终坚持“预防为主、安全第一”，持续开展隐患排查治理，切实加强综合治理，安全生产、应急管理工作取得一定成效，全区安全生产形势持续保持总体平稳。我局荣获全区“综合绩效考核先进单位”“优秀领导班子”。在领导关心部门给力、自身努力、企业配合、社会支持下，云溪区荣获湖南省安全生产优秀县区。</w:t>
            </w:r>
            <w:r>
              <w:rPr>
                <w:rFonts w:hint="eastAsia" w:ascii="仿宋" w:hAnsi="仿宋" w:eastAsia="仿宋" w:cs="仿宋"/>
                <w:sz w:val="24"/>
              </w:rPr>
              <w:t xml:space="preserve"> </w:t>
            </w:r>
          </w:p>
          <w:p>
            <w:pPr>
              <w:autoSpaceDN w:val="0"/>
              <w:spacing w:line="320" w:lineRule="exact"/>
              <w:jc w:val="left"/>
              <w:textAlignment w:val="center"/>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818.74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35.69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706.66</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818.74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35.69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706.66</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742.10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431.16</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286.51</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144.65</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310.94</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76.64</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742.10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431.16</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286.51</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144.65</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310.94</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76.64</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7.37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1.96</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5.41</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7.37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1.96</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5.41</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41.33</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41.33</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41.33</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41.33</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rPr>
                <w:rFonts w:ascii="仿宋_GB2312" w:hAnsi="仿宋" w:eastAsia="仿宋_GB2312" w:cs="仿宋"/>
                <w:sz w:val="24"/>
              </w:rPr>
            </w:pPr>
            <w:r>
              <w:rPr>
                <w:rFonts w:hint="eastAsia" w:ascii="仿宋_GB2312" w:hAnsi="仿宋" w:eastAsia="仿宋_GB2312" w:cs="仿宋"/>
                <w:sz w:val="24"/>
              </w:rPr>
              <w:t>目标1：党政重视，抓责任落实</w:t>
            </w:r>
          </w:p>
          <w:p>
            <w:pPr>
              <w:rPr>
                <w:rFonts w:ascii="仿宋_GB2312" w:hAnsi="仿宋" w:eastAsia="仿宋_GB2312" w:cs="仿宋"/>
                <w:sz w:val="24"/>
              </w:rPr>
            </w:pPr>
            <w:r>
              <w:rPr>
                <w:rFonts w:hint="eastAsia" w:ascii="仿宋_GB2312" w:hAnsi="仿宋" w:eastAsia="仿宋_GB2312" w:cs="仿宋"/>
                <w:sz w:val="24"/>
              </w:rPr>
              <w:t>目标2：凝聚合力，抓部门联动</w:t>
            </w:r>
          </w:p>
          <w:p>
            <w:pPr>
              <w:autoSpaceDN w:val="0"/>
              <w:textAlignment w:val="center"/>
              <w:rPr>
                <w:rFonts w:ascii="仿宋_GB2312" w:hAnsi="仿宋" w:eastAsia="仿宋_GB2312" w:cs="仿宋"/>
                <w:sz w:val="24"/>
              </w:rPr>
            </w:pPr>
            <w:r>
              <w:rPr>
                <w:rFonts w:hint="eastAsia" w:ascii="仿宋_GB2312" w:hAnsi="仿宋" w:eastAsia="仿宋_GB2312" w:cs="仿宋"/>
                <w:sz w:val="24"/>
              </w:rPr>
              <w:t>目标3：有力有序，抓教育培训                        目标4：落实落细，抓专项整治         目标5：依法治安，抓监管执法              目标6：重心下沉，抓基层基础</w:t>
            </w:r>
          </w:p>
          <w:p>
            <w:pPr>
              <w:autoSpaceDN w:val="0"/>
              <w:textAlignment w:val="center"/>
              <w:rPr>
                <w:rFonts w:ascii="仿宋_GB2312" w:hAnsi="仿宋_GB2312" w:eastAsia="仿宋_GB2312" w:cs="仿宋_GB2312"/>
                <w:color w:val="000000"/>
                <w:sz w:val="24"/>
              </w:rPr>
            </w:pPr>
            <w:r>
              <w:rPr>
                <w:rFonts w:hint="eastAsia" w:ascii="仿宋_GB2312" w:hAnsi="仿宋" w:eastAsia="仿宋_GB2312" w:cs="仿宋"/>
                <w:sz w:val="24"/>
              </w:rPr>
              <w:t>目标7：争取社会关注和监督</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pStyle w:val="6"/>
              <w:widowControl/>
              <w:spacing w:before="0" w:beforeAutospacing="0" w:after="0" w:afterAutospacing="0" w:line="33" w:lineRule="atLeast"/>
              <w:jc w:val="both"/>
              <w:rPr>
                <w:rFonts w:ascii="仿宋_GB2312" w:hAnsi="仿宋_GB2312" w:eastAsia="仿宋_GB2312" w:cs="仿宋_GB2312"/>
                <w:color w:val="000000"/>
              </w:rPr>
            </w:pPr>
            <w:r>
              <w:rPr>
                <w:rFonts w:hint="eastAsia" w:ascii="仿宋_GB2312" w:hAnsi="仿宋_GB2312" w:eastAsia="仿宋_GB2312" w:cs="仿宋_GB2312"/>
                <w:b/>
                <w:color w:val="000000"/>
              </w:rPr>
              <w:t>指标1：</w:t>
            </w:r>
            <w:r>
              <w:rPr>
                <w:rFonts w:hint="eastAsia" w:ascii="仿宋_GB2312" w:hAnsi="仿宋_GB2312" w:eastAsia="仿宋_GB2312" w:cs="仿宋_GB2312"/>
                <w:color w:val="000000"/>
                <w:kern w:val="2"/>
              </w:rPr>
              <w:t>完成年度工作目标任务</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pStyle w:val="6"/>
              <w:widowControl/>
              <w:spacing w:before="0" w:beforeAutospacing="0" w:after="0" w:afterAutospacing="0" w:line="33" w:lineRule="atLeast"/>
              <w:jc w:val="both"/>
              <w:rPr>
                <w:rFonts w:ascii="仿宋_GB2312" w:hAnsi="仿宋_GB2312" w:eastAsia="仿宋_GB2312" w:cs="仿宋_GB2312"/>
                <w:color w:val="000000"/>
              </w:rPr>
            </w:pPr>
            <w:r>
              <w:rPr>
                <w:rFonts w:hint="eastAsia" w:ascii="仿宋_GB2312" w:hAnsi="仿宋_GB2312" w:eastAsia="仿宋_GB2312" w:cs="仿宋_GB2312"/>
                <w:b/>
                <w:color w:val="000000"/>
              </w:rPr>
              <w:t>指标2：</w:t>
            </w:r>
            <w:r>
              <w:rPr>
                <w:rFonts w:hint="eastAsia" w:ascii="仿宋_GB2312" w:hAnsi="仿宋_GB2312" w:eastAsia="仿宋_GB2312" w:cs="仿宋_GB2312"/>
                <w:color w:val="000000"/>
              </w:rPr>
              <w:t>积累总结，积极探索创新方法</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指标 3：</w:t>
            </w:r>
            <w:r>
              <w:rPr>
                <w:rFonts w:hint="eastAsia" w:ascii="仿宋_GB2312" w:eastAsia="仿宋_GB2312"/>
                <w:sz w:val="24"/>
              </w:rPr>
              <w:t>以顽瘴痼疾存量隐患清零行动为抓手，实行风险分级管控，着力补足工作短板，严控各类事故发生</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指标 1：</w:t>
            </w:r>
            <w:r>
              <w:rPr>
                <w:rFonts w:hint="eastAsia" w:ascii="仿宋_GB2312" w:eastAsia="仿宋_GB2312"/>
                <w:sz w:val="24"/>
              </w:rPr>
              <w:t>对我区129家重点企业开展了计划执法，发现隐患537条，整改隐患514条，下达执法文书348份，立案11起。</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指标 2：</w:t>
            </w:r>
            <w:r>
              <w:rPr>
                <w:rFonts w:hint="eastAsia" w:ascii="仿宋_GB2312" w:eastAsia="仿宋_GB2312"/>
                <w:sz w:val="24"/>
              </w:rPr>
              <w:t>在全区企业推行主要负责人“讲安全课”和安全生产知识测试活动，共70余家重点企业开展了主要负责人“讲安全课”组织企业主要负责人和安全管理人员参加知识测试60人次，督促主体责任落实</w:t>
            </w:r>
            <w:r>
              <w:rPr>
                <w:rFonts w:hint="eastAsia" w:ascii="仿宋_GB2312" w:hAnsi="仿宋_GB2312" w:eastAsia="仿宋_GB2312" w:cs="仿宋_GB2312"/>
                <w:color w:val="000000"/>
                <w:sz w:val="24"/>
              </w:rPr>
              <w:t>安心才能安全</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指标1：</w:t>
            </w:r>
            <w:r>
              <w:rPr>
                <w:rFonts w:hint="eastAsia" w:ascii="仿宋_GB2312" w:hAnsi="仿宋_GB2312" w:eastAsia="仿宋_GB2312" w:cs="仿宋_GB2312"/>
                <w:color w:val="000000"/>
                <w:sz w:val="24"/>
              </w:rPr>
              <w:t>督促企业在规定期限内及时完成整改。</w:t>
            </w:r>
          </w:p>
        </w:tc>
        <w:tc>
          <w:tcPr>
            <w:tcW w:w="2684" w:type="dxa"/>
            <w:gridSpan w:val="6"/>
            <w:vAlign w:val="center"/>
          </w:tcPr>
          <w:p>
            <w:pPr>
              <w:tabs>
                <w:tab w:val="left" w:pos="649"/>
              </w:tabs>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指标2：</w:t>
            </w:r>
            <w:r>
              <w:rPr>
                <w:rFonts w:hint="eastAsia" w:ascii="仿宋_GB2312" w:hAnsi="仿宋_GB2312" w:eastAsia="仿宋_GB2312" w:cs="仿宋_GB2312"/>
                <w:color w:val="000000"/>
                <w:sz w:val="24"/>
              </w:rPr>
              <w:t>在法定期限内及时办理执法案件，无超期现象。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指标3：</w:t>
            </w:r>
            <w:r>
              <w:rPr>
                <w:rFonts w:hint="eastAsia" w:ascii="仿宋_GB2312" w:eastAsia="仿宋_GB2312"/>
                <w:sz w:val="24"/>
              </w:rPr>
              <w:t>安全生产责任重于泰山，不容有丝毫懈怠，必须时刻从零开始、向零奋进。</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指标1：</w:t>
            </w:r>
            <w:r>
              <w:rPr>
                <w:rFonts w:hint="eastAsia" w:ascii="仿宋_GB2312" w:hAnsi="仿宋_GB2312" w:eastAsia="仿宋_GB2312" w:cs="仿宋_GB2312"/>
                <w:color w:val="000000"/>
                <w:sz w:val="24"/>
              </w:rPr>
              <w:t>控制在预算内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val="en-US" w:eastAsia="zh-CN"/>
              </w:rPr>
              <w:t>比例降低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6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pStyle w:val="6"/>
              <w:widowControl/>
              <w:spacing w:before="300" w:beforeAutospacing="0" w:after="0" w:afterAutospacing="0" w:line="360" w:lineRule="atLeast"/>
              <w:rPr>
                <w:rFonts w:ascii="仿宋_GB2312" w:hAnsi="仿宋_GB2312" w:eastAsia="仿宋_GB2312" w:cs="仿宋_GB2312"/>
                <w:color w:val="000000"/>
                <w:sz w:val="24"/>
              </w:rPr>
            </w:pPr>
            <w:r>
              <w:rPr>
                <w:rFonts w:hint="eastAsia" w:ascii="仿宋_GB2312" w:hAnsi="仿宋_GB2312" w:eastAsia="仿宋_GB2312" w:cs="仿宋_GB2312"/>
                <w:b/>
                <w:color w:val="000000"/>
              </w:rPr>
              <w:t>指标1：</w:t>
            </w:r>
            <w:r>
              <w:rPr>
                <w:rFonts w:hint="eastAsia" w:ascii="仿宋_GB2312" w:eastAsia="仿宋_GB2312"/>
                <w:kern w:val="2"/>
              </w:rPr>
              <w:t>通过行政许可、安全生产大检查、督查、专项整治、“打非治违”、开展安全生产月活动等措施，严把安全生产准入关，关闭淘汰安全保障水平低的落后企业，夯实安全生产基础，提高本质安全水平、建立安全生产标准化体系、完善安全生产法规标准，加大执法力度、推进安全文化建设，营造良好氛围，为有效遏制重特大事故、减少事故起数和伤亡人数，实现安全生产提供保障，促进社会和谐稳定。</w:t>
            </w:r>
            <w:r>
              <w:rPr>
                <w:rFonts w:hint="eastAsia" w:ascii="仿宋" w:hAnsi="仿宋" w:eastAsia="仿宋" w:cs="仿宋"/>
                <w:color w:val="000000"/>
                <w:szCs w:val="21"/>
              </w:rPr>
              <w:tab/>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pStyle w:val="6"/>
              <w:widowControl/>
              <w:spacing w:before="300" w:beforeAutospacing="0" w:after="0" w:afterAutospacing="0" w:line="360" w:lineRule="atLeast"/>
              <w:rPr>
                <w:rFonts w:ascii="仿宋_GB2312" w:hAnsi="仿宋_GB2312" w:eastAsia="仿宋_GB2312" w:cs="仿宋_GB2312"/>
                <w:color w:val="000000"/>
              </w:rPr>
            </w:pPr>
            <w:r>
              <w:rPr>
                <w:rFonts w:hint="eastAsia" w:ascii="仿宋_GB2312" w:hAnsi="仿宋_GB2312" w:eastAsia="仿宋_GB2312" w:cs="仿宋_GB2312"/>
                <w:b/>
                <w:color w:val="000000"/>
              </w:rPr>
              <w:t>指标1：</w:t>
            </w:r>
            <w:r>
              <w:rPr>
                <w:rFonts w:hint="eastAsia" w:ascii="仿宋_GB2312" w:eastAsia="仿宋_GB2312"/>
                <w:kern w:val="2"/>
              </w:rPr>
              <w:t>强化了企业的安全生产责任意识，促使企业加大安全生产投入，改善安全生产技术 ，有效防止和减少了安全生产事故的发生，从而减少安全生产事故带来的直接和间接经济损失。同时，统筹加强自然灾害防治和应急准备，提高灾害风险防范应对能力水平。</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pStyle w:val="6"/>
              <w:widowControl/>
              <w:spacing w:before="300" w:beforeAutospacing="0" w:after="0" w:afterAutospacing="0" w:line="360" w:lineRule="atLeast"/>
              <w:rPr>
                <w:rFonts w:ascii="仿宋_GB2312" w:hAnsi="仿宋_GB2312" w:eastAsia="仿宋_GB2312" w:cs="仿宋_GB2312"/>
                <w:color w:val="000000"/>
              </w:rPr>
            </w:pPr>
            <w:r>
              <w:rPr>
                <w:rFonts w:hint="eastAsia" w:ascii="仿宋_GB2312" w:hAnsi="仿宋_GB2312" w:eastAsia="仿宋_GB2312" w:cs="仿宋_GB2312"/>
                <w:b/>
                <w:color w:val="000000"/>
              </w:rPr>
              <w:t>指标1：</w:t>
            </w:r>
            <w:r>
              <w:rPr>
                <w:rFonts w:hint="eastAsia" w:ascii="仿宋_GB2312" w:eastAsia="仿宋_GB2312"/>
                <w:kern w:val="2"/>
              </w:rPr>
              <w:t>通过规范企业的安全生产行为，淘汰关闭生产技术落后的设备，促进产业转型升级，将事故消灭在萌芽状态，减少事故发生，避免对生产环境、地理环境（如：水源、空气、土地等）带来的污染。</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pStyle w:val="6"/>
              <w:widowControl/>
              <w:spacing w:before="300" w:beforeAutospacing="0" w:after="0" w:afterAutospacing="0" w:line="360" w:lineRule="atLeast"/>
              <w:rPr>
                <w:rFonts w:ascii="仿宋_GB2312" w:hAnsi="仿宋_GB2312" w:eastAsia="仿宋_GB2312" w:cs="仿宋_GB2312"/>
                <w:color w:val="000000"/>
              </w:rPr>
            </w:pPr>
            <w:r>
              <w:rPr>
                <w:rFonts w:hint="eastAsia" w:ascii="仿宋_GB2312" w:hAnsi="仿宋_GB2312" w:eastAsia="仿宋_GB2312" w:cs="仿宋_GB2312"/>
                <w:b/>
                <w:color w:val="000000"/>
              </w:rPr>
              <w:t>指标1：</w:t>
            </w:r>
            <w:r>
              <w:rPr>
                <w:rFonts w:hint="eastAsia" w:ascii="仿宋_GB2312" w:eastAsia="仿宋_GB2312"/>
                <w:kern w:val="2"/>
              </w:rPr>
              <w:t>全区安全生产形势持续稳定向好，防灾减灾救灾能力不断提升，有力维护了人民群众生命财产安全，为全区经济社会良好发展提供了平安稳定的社会环境。</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8146" w:type="dxa"/>
            <w:gridSpan w:val="1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46"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杨楚华</w:t>
            </w:r>
          </w:p>
        </w:tc>
        <w:tc>
          <w:tcPr>
            <w:tcW w:w="3561"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副局长</w:t>
            </w:r>
          </w:p>
        </w:tc>
        <w:tc>
          <w:tcPr>
            <w:tcW w:w="1479" w:type="dxa"/>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云溪区应急管理局</w:t>
            </w:r>
          </w:p>
        </w:tc>
        <w:tc>
          <w:tcPr>
            <w:tcW w:w="3106" w:type="dxa"/>
            <w:gridSpan w:val="8"/>
            <w:vAlign w:val="center"/>
          </w:tcPr>
          <w:p>
            <w:pPr>
              <w:autoSpaceDN w:val="0"/>
              <w:spacing w:line="40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常燕飞</w:t>
            </w:r>
          </w:p>
        </w:tc>
        <w:tc>
          <w:tcPr>
            <w:tcW w:w="3561"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工会主席</w:t>
            </w:r>
          </w:p>
        </w:tc>
        <w:tc>
          <w:tcPr>
            <w:tcW w:w="1479" w:type="dxa"/>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云溪区应急管理局</w:t>
            </w:r>
          </w:p>
        </w:tc>
        <w:tc>
          <w:tcPr>
            <w:tcW w:w="3106" w:type="dxa"/>
            <w:gridSpan w:val="8"/>
            <w:vAlign w:val="center"/>
          </w:tcPr>
          <w:p>
            <w:pPr>
              <w:autoSpaceDN w:val="0"/>
              <w:spacing w:line="40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李小红</w:t>
            </w:r>
          </w:p>
        </w:tc>
        <w:tc>
          <w:tcPr>
            <w:tcW w:w="3561"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财务</w:t>
            </w:r>
          </w:p>
        </w:tc>
        <w:tc>
          <w:tcPr>
            <w:tcW w:w="1479" w:type="dxa"/>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云溪区应急管理局</w:t>
            </w:r>
          </w:p>
        </w:tc>
        <w:tc>
          <w:tcPr>
            <w:tcW w:w="3106" w:type="dxa"/>
            <w:gridSpan w:val="8"/>
            <w:vAlign w:val="center"/>
          </w:tcPr>
          <w:p>
            <w:pPr>
              <w:autoSpaceDN w:val="0"/>
              <w:spacing w:line="40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财政部门归口业务股室意见：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w:t>
            </w:r>
            <w:r>
              <w:rPr>
                <w:rFonts w:hint="eastAsia" w:eastAsia="仿宋_GB2312"/>
                <w:b/>
                <w:bCs/>
                <w:sz w:val="28"/>
                <w:szCs w:val="28"/>
              </w:rPr>
              <w:t>（参考提纲）</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一、部门（单位）概况</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部门（单位）基本情况</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区安监局成立于2003年12月，2017年5月2日确定为政府行政执法机构。2019年3月机构改革后组建成立应急管理局，为区政府工作部门，正科级，加挂岳阳市云溪区防汛抗旱指挥部办公室牌子。</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构设置情况。按照“三定”方案（岳云办发〔2019〕81号）规定，云溪区应急管理局内设10个股室：办公室、应急指挥中心（风险监测和综合减灾股）、防汛抗旱股（地震和地质灾害救援股）、火灾防治管理股、安全生产综合协调股、危险化学品安全监督管理股（行政审批股）、烟花爆竹、非煤矿山和工贸行业安全监督管理股、政策法规股、调查评估和统计股、人事和财务股。下属单位2个：岳阳市云溪区安全生产监察执法大队、岳阳市云溪区应急救援中心。</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职能情况。根据“三定”方案，我局主要职责共有17项，整合了应急管理、安全生产、防汛抗旱、森林防火、地质灾害、消防安全、抗震减灾、灾害救助等8个部门13个领域的工作。机构改革以来，我局致力于构建统一领导、权责一致、高效权威的应急管理体系，统筹抓好维护公共安全、保障生产安全、防灾减灾救灾等工作，基本实现应急管理的协同性、整体性、专业性，应急管理水平和防灾减灾救灾的能力得到一定提高。</w:t>
            </w:r>
          </w:p>
          <w:p>
            <w:pPr>
              <w:spacing w:line="500" w:lineRule="exact"/>
              <w:ind w:firstLine="960" w:firstLineChars="300"/>
              <w:rPr>
                <w:rFonts w:ascii="黑体" w:hAnsi="黑体" w:eastAsia="黑体" w:cs="黑体"/>
                <w:bCs/>
                <w:sz w:val="32"/>
                <w:szCs w:val="32"/>
              </w:rPr>
            </w:pPr>
            <w:r>
              <w:rPr>
                <w:rFonts w:hint="eastAsia" w:ascii="黑体" w:hAnsi="黑体" w:eastAsia="黑体" w:cs="黑体"/>
                <w:bCs/>
                <w:sz w:val="32"/>
                <w:szCs w:val="32"/>
              </w:rPr>
              <w:t>二、一般公人预算支出情况</w:t>
            </w:r>
          </w:p>
          <w:p>
            <w:pPr>
              <w:spacing w:line="5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（一）基本支出情况</w:t>
            </w:r>
          </w:p>
          <w:p>
            <w:pPr>
              <w:ind w:firstLine="56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color w:val="000000"/>
                <w:sz w:val="32"/>
                <w:szCs w:val="32"/>
              </w:rPr>
              <w:t>2020年云溪区应急管理局基本支出431.16万元，其中人员支出286.51万元，用于基本工资、津贴补贴、社保费缴纳等人员经费；商品和服务支出114.20万元，用于办公费、印刷费、水电费、办公设备购置等日常办公开支，对个人和家庭的补助支出21.14万元，其他支出1.38万元，固定资产折旧费7.93万元。项目支出310.94万元，用于保障全区安全生产环境持续稳定发展。</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公”经费支出情况。“三公”经费支出合计7.37万元，分项为：公务接待费支出1.96万元，公务用车运行维护费支出5.41万元，公务用车购置费支出0万元，因公出国（境）费支出0万元。严格控制“三公”经费的规模和比例，合理压缩“三公”经费支出，保持逐年递减趋势。</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（二）项目支出情况</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2020年度预算安排项目资金 85万元，单位实际发生项目支出310.94万元，其中追加我局6.16“安全生产月”宣传活动经费20万元，年初预算安排的项目资金全部用于项目，实现了专款专用；上级拨中央自然灾害救灾、防汛救灾、安全生产预防及应急专项资金等，在资金使用上做到了专款专用，无挤占、挪用、滞留等违规使用资金情况，中央自然灾害救灾资金是“救命钱”，是“高压线”，我区按照省财政厅、省应急厅专项资金文件要求及各乡镇、街道办统计报送的受灾情况，制订相应的专项资金分配方案，由主管副区长审批后，拨付到区有关单位及乡镇。</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三、政府性基金预算支出情况</w:t>
            </w:r>
          </w:p>
          <w:p>
            <w:pPr>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2020年无政府性基金预算收支业务。</w:t>
            </w:r>
          </w:p>
          <w:p>
            <w:pPr>
              <w:numPr>
                <w:ilvl w:val="0"/>
                <w:numId w:val="2"/>
              </w:numPr>
              <w:ind w:firstLine="640" w:firstLineChars="200"/>
              <w:rPr>
                <w:rFonts w:ascii="黑体" w:hAnsi="黑体" w:eastAsia="黑体" w:cs="黑体"/>
                <w:bCs/>
                <w:sz w:val="32"/>
                <w:szCs w:val="32"/>
              </w:rPr>
            </w:pPr>
            <w:r>
              <w:rPr>
                <w:rFonts w:hint="eastAsia" w:ascii="黑体" w:hAnsi="黑体" w:eastAsia="黑体" w:cs="黑体"/>
                <w:bCs/>
                <w:sz w:val="32"/>
                <w:szCs w:val="32"/>
              </w:rPr>
              <w:t>国有资本经营预算支出情况</w:t>
            </w:r>
          </w:p>
          <w:p>
            <w:pPr>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2020年无国有资本经营预算收支业务。</w:t>
            </w:r>
          </w:p>
          <w:p>
            <w:pPr>
              <w:numPr>
                <w:ilvl w:val="0"/>
                <w:numId w:val="0"/>
              </w:num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社会保险基金预算支出情况</w:t>
            </w:r>
          </w:p>
          <w:p>
            <w:pPr>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2020年社保等</w:t>
            </w:r>
            <w:r>
              <w:rPr>
                <w:rFonts w:hint="eastAsia" w:ascii="仿宋_GB2312" w:hAnsi="黑体" w:eastAsia="仿宋_GB2312" w:cs="黑体"/>
                <w:bCs/>
                <w:sz w:val="32"/>
                <w:szCs w:val="32"/>
              </w:rPr>
              <w:t>预算</w:t>
            </w:r>
            <w:r>
              <w:rPr>
                <w:rFonts w:hint="eastAsia" w:ascii="仿宋_GB2312" w:hAnsi="宋体" w:eastAsia="仿宋_GB2312" w:cs="宋体"/>
                <w:bCs/>
                <w:sz w:val="32"/>
                <w:szCs w:val="32"/>
              </w:rPr>
              <w:t>支出46.81万元，其中基本养老保险缴费支出17.57支出，职业年金缴费支出8.78万元，职工基本医疗支出6.18万元、工伤保险缴费支出1.10万元，住房公积金支出13.18万元。</w:t>
            </w:r>
          </w:p>
          <w:p>
            <w:pPr>
              <w:numPr>
                <w:ilvl w:val="0"/>
                <w:numId w:val="0"/>
              </w:num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部门整体支出绩效情况</w:t>
            </w:r>
          </w:p>
          <w:p>
            <w:pPr>
              <w:ind w:firstLine="640" w:firstLineChars="200"/>
              <w:rPr>
                <w:rFonts w:ascii="仿宋_GB2312" w:hAnsi="仿宋" w:eastAsia="仿宋_GB2312" w:cs="宋体"/>
                <w:color w:val="333333"/>
                <w:sz w:val="32"/>
                <w:szCs w:val="32"/>
              </w:rPr>
            </w:pPr>
            <w:r>
              <w:rPr>
                <w:rFonts w:hint="eastAsia" w:ascii="仿宋_GB2312" w:hAnsi="宋体" w:eastAsia="仿宋_GB2312" w:cs="宋体"/>
                <w:color w:val="000000"/>
                <w:sz w:val="32"/>
                <w:szCs w:val="32"/>
              </w:rPr>
              <w:t>2020年度应急管理局整体支出</w:t>
            </w:r>
            <w:r>
              <w:rPr>
                <w:rFonts w:hint="eastAsia" w:ascii="仿宋_GB2312" w:hAnsi="仿宋_GB2312" w:eastAsia="仿宋_GB2312" w:cs="仿宋_GB2312"/>
                <w:bCs/>
                <w:sz w:val="32"/>
                <w:szCs w:val="32"/>
              </w:rPr>
              <w:t>742.10</w:t>
            </w:r>
            <w:r>
              <w:rPr>
                <w:rFonts w:hint="eastAsia" w:ascii="仿宋_GB2312" w:hAnsi="宋体" w:eastAsia="仿宋_GB2312" w:cs="宋体"/>
                <w:bCs/>
                <w:sz w:val="32"/>
                <w:szCs w:val="32"/>
              </w:rPr>
              <w:t xml:space="preserve"> 万</w:t>
            </w:r>
            <w:r>
              <w:rPr>
                <w:rFonts w:hint="eastAsia" w:ascii="仿宋_GB2312" w:hAnsi="宋体" w:eastAsia="仿宋_GB2312" w:cs="宋体"/>
                <w:color w:val="000000"/>
                <w:sz w:val="32"/>
                <w:szCs w:val="32"/>
              </w:rPr>
              <w:t>万元，其中基本支出431.16万元，项目支出310.94万元。</w:t>
            </w:r>
            <w:r>
              <w:rPr>
                <w:rFonts w:hint="eastAsia" w:ascii="仿宋_GB2312" w:hAnsi="仿宋" w:eastAsia="仿宋_GB2312" w:cs="宋体"/>
                <w:color w:val="333333"/>
                <w:sz w:val="32"/>
                <w:szCs w:val="32"/>
              </w:rPr>
              <w:t>2020年，根据应急管理局年初工作规划和重点工作安排，围绕区委、区政府</w:t>
            </w:r>
            <w:r>
              <w:rPr>
                <w:rFonts w:hint="eastAsia" w:ascii="仿宋_GB2312" w:hAnsi="微软雅黑" w:eastAsia="仿宋_GB2312" w:cs="微软雅黑"/>
                <w:color w:val="333333"/>
                <w:sz w:val="32"/>
                <w:szCs w:val="32"/>
              </w:rPr>
              <w:t>始终把安全生产工作摆在高于一切、重于一切、先于一切的位置，进行研究部署和落实</w:t>
            </w:r>
            <w:r>
              <w:rPr>
                <w:rFonts w:hint="eastAsia" w:ascii="仿宋_GB2312" w:hAnsi="仿宋" w:eastAsia="仿宋_GB2312" w:cs="宋体"/>
                <w:color w:val="333333"/>
                <w:sz w:val="32"/>
                <w:szCs w:val="32"/>
              </w:rPr>
              <w:t>，积极履行职责，强化管理，较好地完成了年度工作目标,通过</w:t>
            </w:r>
            <w:r>
              <w:rPr>
                <w:rFonts w:hint="eastAsia" w:ascii="仿宋_GB2312" w:hAnsi="宋体" w:eastAsia="仿宋_GB2312" w:cs="宋体"/>
                <w:color w:val="000000"/>
                <w:sz w:val="32"/>
                <w:szCs w:val="32"/>
              </w:rPr>
              <w:t>加强预算管理的执行力度，</w:t>
            </w:r>
            <w:r>
              <w:rPr>
                <w:rFonts w:hint="eastAsia" w:ascii="仿宋_GB2312" w:hAnsi="仿宋" w:eastAsia="仿宋_GB2312" w:cs="仿宋"/>
                <w:color w:val="000000"/>
                <w:sz w:val="32"/>
                <w:szCs w:val="32"/>
              </w:rPr>
              <w:t>各项资金其主要用途是确保单位的正常运转，</w:t>
            </w:r>
            <w:r>
              <w:rPr>
                <w:rFonts w:hint="eastAsia" w:ascii="仿宋_GB2312" w:hAnsi="宋体" w:eastAsia="仿宋_GB2312" w:cs="宋体"/>
                <w:color w:val="000000"/>
                <w:sz w:val="32"/>
                <w:szCs w:val="32"/>
              </w:rPr>
              <w:t>降低运行成本，提高管理效率和履职效能，实现了良好的社会效应和可持续发展的目标，扩大了群众对我局工作的认可度和满意度，</w:t>
            </w:r>
            <w:r>
              <w:rPr>
                <w:rFonts w:hint="eastAsia" w:ascii="仿宋_GB2312" w:hAnsi="仿宋" w:eastAsia="仿宋_GB2312" w:cs="宋体"/>
                <w:color w:val="333333"/>
                <w:sz w:val="32"/>
                <w:szCs w:val="32"/>
              </w:rPr>
              <w:t>单位年度整体支出管理得到有效提升。</w:t>
            </w:r>
          </w:p>
          <w:p>
            <w:pPr>
              <w:pStyle w:val="26"/>
              <w:widowControl/>
              <w:spacing w:line="500" w:lineRule="exact"/>
              <w:ind w:left="0" w:leftChars="0" w:firstLine="640" w:firstLineChars="200"/>
              <w:jc w:val="left"/>
              <w:rPr>
                <w:rFonts w:ascii="黑体" w:hAnsi="黑体" w:eastAsia="黑体" w:cs="黑体"/>
                <w:sz w:val="32"/>
                <w:szCs w:val="32"/>
              </w:rPr>
            </w:pPr>
            <w:r>
              <w:rPr>
                <w:rFonts w:hint="eastAsia" w:ascii="黑体" w:hAnsi="黑体" w:eastAsia="黑体" w:cs="黑体"/>
                <w:sz w:val="32"/>
                <w:szCs w:val="32"/>
              </w:rPr>
              <w:t>七、存在的问题及原因分析</w:t>
            </w:r>
          </w:p>
          <w:p>
            <w:pPr>
              <w:ind w:firstLine="640" w:firstLineChars="200"/>
              <w:rPr>
                <w:rFonts w:ascii="仿宋_GB2312" w:eastAsia="仿宋_GB2312"/>
                <w:sz w:val="32"/>
                <w:szCs w:val="32"/>
              </w:rPr>
            </w:pPr>
            <w:r>
              <w:rPr>
                <w:rFonts w:hint="eastAsia" w:ascii="仿宋_GB2312" w:eastAsia="仿宋_GB2312"/>
                <w:sz w:val="32"/>
                <w:szCs w:val="32"/>
              </w:rPr>
              <w:t>职能职责：根据 “三定”方案，我局职能融合涉及区政府应急办、原安监局、水利局、林业局、自然资源和规划局、民政局、地震办、商粮局等8个局关于应急管理、安全生产、防汛抗旱、森林防火、地质灾害、灾害救助、消防安全、抗震减灾等13个领域的工作。到目前为止，应急管理、安全生产、地质灾害、灾害救助、消防安全、抗震减灾等6项职能已完全移交我局。区防汛办职责未完成移交，区防汛办工作仍由水利局牵头，我局适度参与。区防灭火办职责于2020年6月30日移交我局，但人、财、物未移交。人员转隶</w:t>
            </w:r>
            <w:r>
              <w:rPr>
                <w:rFonts w:hint="eastAsia" w:ascii="仿宋_GB2312" w:eastAsia="仿宋_GB2312"/>
                <w:b/>
                <w:sz w:val="32"/>
                <w:szCs w:val="32"/>
              </w:rPr>
              <w:t>：</w:t>
            </w:r>
            <w:r>
              <w:rPr>
                <w:rFonts w:hint="eastAsia" w:ascii="仿宋_GB2312" w:eastAsia="仿宋_GB2312"/>
                <w:sz w:val="32"/>
                <w:szCs w:val="32"/>
              </w:rPr>
              <w:t>到目前为止，涉及职能融合的8个局均没有相关专业人员转隶到我局。硬件基础</w:t>
            </w:r>
            <w:r>
              <w:rPr>
                <w:rFonts w:hint="eastAsia" w:ascii="仿宋_GB2312" w:eastAsia="仿宋_GB2312"/>
                <w:b/>
                <w:sz w:val="32"/>
                <w:szCs w:val="32"/>
              </w:rPr>
              <w:t>：</w:t>
            </w:r>
            <w:r>
              <w:rPr>
                <w:rFonts w:hint="eastAsia" w:ascii="仿宋_GB2312" w:eastAsia="仿宋_GB2312"/>
                <w:sz w:val="32"/>
                <w:szCs w:val="32"/>
              </w:rPr>
              <w:t>指挥中心平台未建立，难以统一调动和协调社会各应急服务资源，实现紧急突发事件处理的全过程跟踪上报、相关数据采集、紧急程度判断、实时沟通、联动指挥和应急现场支持等。另没有应急物资储备仓库。车辆装备</w:t>
            </w:r>
            <w:r>
              <w:rPr>
                <w:rFonts w:hint="eastAsia" w:ascii="仿宋_GB2312" w:eastAsia="仿宋_GB2312"/>
                <w:b/>
                <w:sz w:val="32"/>
                <w:szCs w:val="32"/>
              </w:rPr>
              <w:t>：</w:t>
            </w:r>
            <w:r>
              <w:rPr>
                <w:rFonts w:hint="eastAsia" w:ascii="仿宋_GB2312" w:eastAsia="仿宋_GB2312"/>
                <w:sz w:val="32"/>
                <w:szCs w:val="32"/>
              </w:rPr>
              <w:t>仅有1台执法车辆，且未纳入执法执勤用车保留单位（11个局），没有列入全区用车编制，且车况较差，全局各职能股室大多只能私车公用，应急指挥、救援救灾、抢险、执法等无专用车辆使用。应急预案编制：我局牵头编制全区总体应急预案、安全生产类、自然灾害类专项预案，其余的专项应急预案由相关职能部门自行编制。到目前为止，因省、市上位预案未完成编制，我局暂未启动应急预案编制工作。应急值班值守：严格按照应急指挥中心值班要求，全年365天采取“1+2”模式，即1名带班领导和2名工作人员，并按要求填写《值班日志》，未发放值班补助。</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八、改进措施和有关建议</w:t>
            </w:r>
          </w:p>
          <w:p>
            <w:pPr>
              <w:pStyle w:val="6"/>
              <w:widowControl/>
              <w:autoSpaceDE w:val="0"/>
              <w:spacing w:before="0" w:beforeAutospacing="0" w:after="0" w:afterAutospacing="0"/>
              <w:ind w:firstLine="640" w:firstLineChars="200"/>
              <w:jc w:val="both"/>
              <w:rPr>
                <w:rFonts w:ascii="仿宋_GB2312" w:eastAsia="仿宋_GB2312" w:cs="楷体_GB2312"/>
                <w:color w:val="000000"/>
                <w:sz w:val="32"/>
                <w:szCs w:val="32"/>
                <w:shd w:val="clear" w:color="auto" w:fill="FFFFFF"/>
              </w:rPr>
            </w:pPr>
            <w:r>
              <w:rPr>
                <w:rFonts w:hint="eastAsia" w:ascii="仿宋_GB2312" w:eastAsia="仿宋_GB2312" w:cs="楷体_GB2312"/>
                <w:color w:val="000000"/>
                <w:sz w:val="32"/>
                <w:szCs w:val="32"/>
                <w:shd w:val="clear" w:color="auto" w:fill="FFFFFF"/>
              </w:rPr>
              <w:t>现有监管力量不足，机制还未完全理顺。</w:t>
            </w:r>
          </w:p>
          <w:p>
            <w:pPr>
              <w:pStyle w:val="6"/>
              <w:widowControl/>
              <w:autoSpaceDE w:val="0"/>
              <w:spacing w:before="0" w:beforeAutospacing="0" w:after="0" w:afterAutospacing="0"/>
              <w:ind w:firstLine="640" w:firstLineChars="200"/>
              <w:jc w:val="both"/>
              <w:rPr>
                <w:rFonts w:ascii="仿宋_GB2312" w:eastAsia="仿宋_GB2312" w:cs="仿宋_GB2312"/>
                <w:color w:val="000000"/>
                <w:sz w:val="32"/>
                <w:szCs w:val="32"/>
                <w:shd w:val="clear" w:color="auto" w:fill="FFFFFF"/>
              </w:rPr>
            </w:pPr>
            <w:bookmarkStart w:id="0" w:name="_GoBack"/>
            <w:bookmarkEnd w:id="0"/>
            <w:r>
              <w:rPr>
                <w:rFonts w:hint="eastAsia" w:ascii="仿宋_GB2312" w:eastAsia="仿宋_GB2312" w:cs="仿宋_GB2312"/>
                <w:color w:val="000000"/>
                <w:sz w:val="32"/>
                <w:szCs w:val="32"/>
                <w:shd w:val="clear" w:color="auto" w:fill="FFFFFF"/>
              </w:rPr>
              <w:t>一.机构改革后，应急管理部门所承担的职能职责增加，工作人员还未全部到位，新增的防灾减灾救灾、防汛抗旱、森林防火、应急管理等方面的工作量大面广，仍处于边学习、边工作的状态，还存在专业知识欠缺、业务生疏等问题。同时镇街多数人员身兼数职，聚集主责主业的时间比例偏低，存在安全生产不会管，没精力管的现象。</w:t>
            </w:r>
          </w:p>
          <w:p>
            <w:pPr>
              <w:pStyle w:val="6"/>
              <w:widowControl/>
              <w:autoSpaceDE w:val="0"/>
              <w:spacing w:before="0" w:beforeAutospacing="0" w:after="0" w:afterAutospacing="0"/>
              <w:ind w:firstLine="480"/>
              <w:jc w:val="both"/>
              <w:rPr>
                <w:rFonts w:ascii="仿宋_GB2312" w:eastAsia="仿宋_GB2312"/>
                <w:sz w:val="32"/>
                <w:szCs w:val="32"/>
              </w:rPr>
            </w:pPr>
            <w:r>
              <w:rPr>
                <w:rFonts w:hint="eastAsia" w:ascii="仿宋_GB2312" w:eastAsia="仿宋_GB2312" w:cs="仿宋_GB2312"/>
                <w:color w:val="000000"/>
                <w:sz w:val="32"/>
                <w:szCs w:val="32"/>
                <w:shd w:val="clear" w:color="auto" w:fill="FFFFFF"/>
              </w:rPr>
              <w:t>二.减灾委员会、防汛抗旱指挥部等应急指挥协调机构尚未进行调整，体制机制有待进一步理顺，防汛抗旱、森林防火、地质灾害防治职责不清、责任不明的问题比较突出，部分工作出现推诿现象，特别是镇街一级机构改革未进行，工作效率大打折扣。。</w:t>
            </w:r>
          </w:p>
          <w:p>
            <w:pPr>
              <w:pStyle w:val="6"/>
              <w:widowControl/>
              <w:autoSpaceDE w:val="0"/>
              <w:spacing w:before="0" w:beforeAutospacing="0" w:after="0" w:afterAutospacing="0"/>
              <w:ind w:firstLine="645"/>
              <w:jc w:val="both"/>
              <w:rPr>
                <w:rFonts w:ascii="仿宋_GB2312" w:eastAsia="仿宋_GB2312" w:cs="仿宋_GB2312"/>
                <w:sz w:val="32"/>
                <w:szCs w:val="32"/>
                <w:shd w:val="clear" w:color="auto" w:fill="FFFFFF"/>
              </w:rPr>
            </w:pPr>
            <w:r>
              <w:rPr>
                <w:rFonts w:hint="eastAsia" w:ascii="仿宋_GB2312" w:eastAsia="仿宋_GB2312" w:cs="楷体_GB2312"/>
                <w:color w:val="000000"/>
                <w:sz w:val="32"/>
                <w:szCs w:val="32"/>
                <w:shd w:val="clear" w:color="auto" w:fill="FFFFFF"/>
              </w:rPr>
              <w:t>三.执法力度仍需加强。</w:t>
            </w:r>
            <w:r>
              <w:rPr>
                <w:rFonts w:hint="eastAsia" w:ascii="仿宋_GB2312" w:eastAsia="仿宋_GB2312" w:cs="仿宋_GB2312"/>
                <w:sz w:val="32"/>
                <w:szCs w:val="32"/>
                <w:shd w:val="clear" w:color="auto" w:fill="FFFFFF"/>
              </w:rPr>
              <w:t>由于综合执法与行业部门监管执法机制未理顺，部分行业领域非法生产现象依然存在，加之基层安全监管执法力量薄弱，难以适应工作要求，导致监管执法工作力度不大，措施不硬、打击不力</w:t>
            </w:r>
          </w:p>
          <w:p>
            <w:pPr>
              <w:pStyle w:val="6"/>
              <w:widowControl/>
              <w:autoSpaceDE w:val="0"/>
              <w:spacing w:before="0" w:beforeAutospacing="0" w:after="0" w:afterAutospacing="0"/>
              <w:ind w:firstLine="645"/>
              <w:jc w:val="both"/>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四.安全风险隐患仍然较多，一些企业重生产轻安全，安全机构设置流于形式，责任措施不落实，培训教育缺失，安全投入不够，设备安全保障能力低，风险管控能力弱，隐患查改不到位。</w:t>
            </w:r>
          </w:p>
          <w:p>
            <w:pPr>
              <w:pStyle w:val="6"/>
              <w:widowControl/>
              <w:autoSpaceDE w:val="0"/>
              <w:spacing w:before="0" w:beforeAutospacing="0" w:after="0" w:afterAutospacing="0"/>
              <w:ind w:firstLine="645"/>
              <w:jc w:val="both"/>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五.全民安全意识仍待提高，全民安全生产法律意识仍然淡薄，“生命至上、安全第一”的理念还没有真正树立起来，特别是大量外来务工人员，无知无畏、违规违章，隐患很大。</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九、下一步改进措施</w:t>
            </w:r>
          </w:p>
          <w:p>
            <w:pPr>
              <w:ind w:firstLine="640" w:firstLineChars="200"/>
              <w:rPr>
                <w:rFonts w:ascii="仿宋_GB2312" w:eastAsia="仿宋_GB2312"/>
                <w:sz w:val="32"/>
                <w:szCs w:val="32"/>
              </w:rPr>
            </w:pPr>
            <w:r>
              <w:rPr>
                <w:rFonts w:hint="eastAsia" w:ascii="仿宋_GB2312" w:hAnsi="楷体" w:eastAsia="仿宋_GB2312"/>
                <w:sz w:val="32"/>
                <w:szCs w:val="32"/>
              </w:rPr>
              <w:t>一.加快理顺体制机制。</w:t>
            </w:r>
            <w:r>
              <w:rPr>
                <w:rFonts w:hint="eastAsia" w:ascii="仿宋_GB2312" w:eastAsia="仿宋_GB2312"/>
                <w:sz w:val="32"/>
                <w:szCs w:val="32"/>
              </w:rPr>
              <w:t>坚持立足区情、借鉴学习、据实建言、平稳推进的原则，人随事走、编随人走，尽快完成转隶，确保我局职责职能按要求调整到位，人员转隶到位，尽快实现有机融合，科学建立机制，形成联动合力，提升工作效能。</w:t>
            </w:r>
          </w:p>
          <w:p>
            <w:pPr>
              <w:ind w:firstLine="640" w:firstLineChars="200"/>
              <w:rPr>
                <w:rFonts w:ascii="仿宋_GB2312" w:eastAsia="仿宋_GB2312"/>
                <w:sz w:val="32"/>
                <w:szCs w:val="32"/>
              </w:rPr>
            </w:pPr>
            <w:r>
              <w:rPr>
                <w:rFonts w:hint="eastAsia" w:ascii="仿宋_GB2312" w:hAnsi="楷体" w:eastAsia="仿宋_GB2312"/>
                <w:sz w:val="32"/>
                <w:szCs w:val="32"/>
              </w:rPr>
              <w:t>二.提升应急保障能力。</w:t>
            </w:r>
            <w:r>
              <w:rPr>
                <w:rFonts w:hint="eastAsia" w:ascii="仿宋_GB2312" w:eastAsia="仿宋_GB2312"/>
                <w:sz w:val="32"/>
                <w:szCs w:val="32"/>
              </w:rPr>
              <w:t>鉴于目前我区大应急、大安全的应急物资、技术设备严重缺失（有毒气体报警器、防毒面具、应急指挥车等必备应急设备），主动争取上级项目建设，建立综合性应急物资装备储备仓库，配备应急救援必备物资和装备，建立应急物质储备联席会议协调机制，最大限度保障应急处置和突发事件下应急物资的正常供给。同时加强危险化学品应急救援基地和应急救援队伍建设，培养专业化、实战化的应急救援队伍，切实提高我区防范各类安全风险的处置能力。</w:t>
            </w:r>
          </w:p>
          <w:p>
            <w:pPr>
              <w:ind w:firstLine="640" w:firstLineChars="200"/>
              <w:rPr>
                <w:rFonts w:ascii="仿宋_GB2312" w:hAnsi="仿宋" w:eastAsia="仿宋_GB2312" w:cs="宋体"/>
                <w:kern w:val="0"/>
                <w:sz w:val="32"/>
                <w:szCs w:val="32"/>
                <w:lang w:val="zh-CN"/>
              </w:rPr>
            </w:pPr>
            <w:r>
              <w:rPr>
                <w:rFonts w:hint="eastAsia" w:ascii="仿宋_GB2312" w:hAnsi="楷体" w:eastAsia="仿宋_GB2312"/>
                <w:sz w:val="32"/>
                <w:szCs w:val="32"/>
              </w:rPr>
              <w:t>三.加快危货停车场建设。</w:t>
            </w:r>
            <w:r>
              <w:rPr>
                <w:rFonts w:hint="eastAsia" w:ascii="仿宋_GB2312" w:eastAsia="仿宋_GB2312"/>
                <w:sz w:val="32"/>
                <w:szCs w:val="32"/>
              </w:rPr>
              <w:t>我区属于化工大区，各类危险化学品车辆繁多，车辆乱停乱靠乱象丛生，对公共安全造成极大的安全隐患。建议</w:t>
            </w:r>
            <w:r>
              <w:rPr>
                <w:rFonts w:hint="eastAsia" w:ascii="仿宋_GB2312" w:hAnsi="仿宋" w:eastAsia="仿宋_GB2312" w:cs="宋体"/>
                <w:kern w:val="0"/>
                <w:sz w:val="32"/>
                <w:szCs w:val="32"/>
              </w:rPr>
              <w:t>出台适应区情的规范性法规政策，加快建立云溪区专用</w:t>
            </w:r>
            <w:r>
              <w:rPr>
                <w:rFonts w:hint="eastAsia" w:ascii="仿宋_GB2312" w:hAnsi="仿宋" w:eastAsia="仿宋_GB2312" w:cs="宋体"/>
                <w:kern w:val="0"/>
                <w:sz w:val="32"/>
                <w:szCs w:val="32"/>
                <w:lang w:val="zh-CN"/>
              </w:rPr>
              <w:t>危货车辆综合停车场，</w:t>
            </w:r>
            <w:r>
              <w:rPr>
                <w:rFonts w:hint="eastAsia" w:ascii="仿宋_GB2312" w:hAnsi="仿宋" w:eastAsia="仿宋_GB2312" w:cs="宋体"/>
                <w:kern w:val="0"/>
                <w:sz w:val="32"/>
                <w:szCs w:val="32"/>
              </w:rPr>
              <w:t>规范危货车辆停靠</w:t>
            </w:r>
            <w:r>
              <w:rPr>
                <w:rFonts w:hint="eastAsia" w:ascii="仿宋_GB2312" w:hAnsi="仿宋" w:eastAsia="仿宋_GB2312" w:cs="宋体"/>
                <w:kern w:val="0"/>
                <w:sz w:val="32"/>
                <w:szCs w:val="32"/>
                <w:lang w:val="zh-CN"/>
              </w:rPr>
              <w:t>。</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十、其他需要说明的情况</w:t>
            </w:r>
          </w:p>
          <w:p>
            <w:pPr>
              <w:ind w:firstLine="636"/>
              <w:rPr>
                <w:rFonts w:ascii="仿宋_GB2312" w:eastAsia="仿宋_GB2312"/>
                <w:sz w:val="32"/>
                <w:szCs w:val="32"/>
              </w:rPr>
            </w:pPr>
            <w:r>
              <w:rPr>
                <w:rFonts w:hint="eastAsia" w:ascii="仿宋_GB2312" w:hAnsi="黑体" w:eastAsia="仿宋_GB2312"/>
                <w:b w:val="0"/>
                <w:bCs/>
                <w:sz w:val="32"/>
                <w:szCs w:val="32"/>
              </w:rPr>
              <w:t>疲于应付各节点工作，系统性的整合尚未完成。</w:t>
            </w:r>
            <w:r>
              <w:rPr>
                <w:rFonts w:hint="eastAsia" w:ascii="仿宋_GB2312" w:eastAsia="仿宋_GB2312"/>
                <w:sz w:val="32"/>
                <w:szCs w:val="32"/>
              </w:rPr>
              <w:t>应急管理工作是社会关注度极高，任务不确定性和复杂性最大的社会管理职能，概况起来基本就是“天灾人祸”的防与救，生产安全事故基本就算是“人祸”，因为事故背后大都有人为因素，或是操作不规范，或是培训不到位，或是制度执行不严格，某个或几个环节失守，导致事故发生，而洪涝、干旱、森林火灾、地质灾害和地震等灾害就是“天灾”，客观上很难阻止发生，只能是尽全力减少其危害。现在的应急管理工作，自年底开始冬春季节森林防灭火、4月份各类生产建设单位复工复产、5月进入汛期、6月进入生产建设旺季，再到防汛关键期，也是地质灾害高发期，基本就是全年都在高度紧张、疲于应对，难免会有顾此失彼、甚至交叉叠加的情况。特别是安全生产执法用车、应急救援出现场用车没有专门保证，24小时应急值守没有值班经费，应急救援现场处置没有人身保险等问题突出，极大地影响应急管理工作的正常开展。尤其是机构改革前多年推动建立的市、区、镇（街）、村社四级安全监管体系，也在镇（街）基层机构改革中被弱化，应急管理“最后一公里”还非常薄弱。</w:t>
            </w:r>
          </w:p>
          <w:p>
            <w:pPr>
              <w:pStyle w:val="6"/>
              <w:widowControl/>
              <w:autoSpaceDE w:val="0"/>
              <w:spacing w:before="0" w:beforeAutospacing="0" w:after="0" w:afterAutospacing="0" w:line="555" w:lineRule="atLeast"/>
              <w:ind w:firstLine="480"/>
              <w:jc w:val="both"/>
              <w:rPr>
                <w:rFonts w:ascii="楷体_GB2312" w:eastAsia="楷体_GB2312"/>
                <w:color w:val="000000"/>
                <w:sz w:val="31"/>
                <w:szCs w:val="31"/>
                <w:shd w:val="clear" w:color="auto" w:fill="FFFFFF"/>
              </w:rPr>
            </w:pPr>
            <w:r>
              <w:rPr>
                <w:rFonts w:hint="eastAsia" w:ascii="楷体_GB2312" w:eastAsia="楷体_GB2312"/>
                <w:color w:val="000000"/>
                <w:sz w:val="31"/>
                <w:szCs w:val="31"/>
                <w:shd w:val="clear" w:color="auto" w:fill="FFFFFF"/>
              </w:rPr>
              <w:t xml:space="preserve"> </w:t>
            </w:r>
          </w:p>
          <w:p>
            <w:pPr>
              <w:spacing w:line="500" w:lineRule="exact"/>
              <w:ind w:firstLine="480" w:firstLineChars="200"/>
              <w:rPr>
                <w:rFonts w:ascii="宋体" w:hAnsi="宋体" w:cs="宋体"/>
                <w:bCs/>
                <w:sz w:val="24"/>
              </w:rPr>
            </w:pPr>
          </w:p>
          <w:p>
            <w:pPr>
              <w:spacing w:line="500" w:lineRule="exact"/>
              <w:ind w:firstLine="480" w:firstLineChars="200"/>
              <w:rPr>
                <w:rFonts w:ascii="宋体" w:hAnsi="宋体" w:cs="宋体"/>
                <w:bCs/>
                <w:sz w:val="24"/>
              </w:rPr>
            </w:pPr>
          </w:p>
          <w:p>
            <w:pPr>
              <w:widowControl/>
              <w:spacing w:line="500" w:lineRule="exact"/>
              <w:ind w:firstLine="560" w:firstLineChars="200"/>
              <w:jc w:val="left"/>
              <w:rPr>
                <w:rFonts w:ascii="黑体" w:hAnsi="黑体" w:eastAsia="黑体" w:cs="黑体"/>
                <w:bCs/>
                <w:sz w:val="28"/>
                <w:szCs w:val="28"/>
              </w:rPr>
            </w:pP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spacing w:line="120" w:lineRule="auto"/>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在职人数大于编制数</w:t>
            </w: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项目调整预算经费追加</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有结余</w:t>
            </w: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eastAsia="zh-CN"/>
              </w:rPr>
              <w:t>管理制度可进一步完善</w:t>
            </w: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关于做好岳阳市云溪区2020年度综合绩效考核工作的通知》（岳云发〔2020〕7号）考核内容设置。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93.9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jc w:val="center"/>
        <w:rPr>
          <w:rFonts w:ascii="黑体" w:hAnsi="黑体" w:eastAsia="黑体" w:cs="黑体"/>
          <w:bCs/>
          <w:sz w:val="28"/>
          <w:szCs w:val="28"/>
        </w:rPr>
      </w:pPr>
    </w:p>
    <w:tbl>
      <w:tblPr>
        <w:tblStyle w:val="7"/>
        <w:tblW w:w="9465" w:type="dxa"/>
        <w:tblInd w:w="0" w:type="dxa"/>
        <w:tblLayout w:type="autofit"/>
        <w:tblCellMar>
          <w:top w:w="0" w:type="dxa"/>
          <w:left w:w="0" w:type="dxa"/>
          <w:bottom w:w="0" w:type="dxa"/>
          <w:right w:w="0" w:type="dxa"/>
        </w:tblCellMar>
      </w:tblPr>
      <w:tblGrid>
        <w:gridCol w:w="9465"/>
      </w:tblGrid>
      <w:tr>
        <w:tblPrEx>
          <w:tblCellMar>
            <w:top w:w="0" w:type="dxa"/>
            <w:left w:w="0" w:type="dxa"/>
            <w:bottom w:w="0" w:type="dxa"/>
            <w:right w:w="0" w:type="dxa"/>
          </w:tblCellMar>
        </w:tblPrEx>
        <w:trPr>
          <w:trHeight w:val="90" w:hRule="atLeast"/>
        </w:trPr>
        <w:tc>
          <w:tcPr>
            <w:tcW w:w="9465" w:type="dxa"/>
            <w:tcBorders>
              <w:top w:val="nil"/>
              <w:left w:val="nil"/>
              <w:bottom w:val="nil"/>
              <w:right w:val="nil"/>
            </w:tcBorders>
            <w:tcMar>
              <w:top w:w="15" w:type="dxa"/>
              <w:left w:w="15" w:type="dxa"/>
              <w:right w:w="15" w:type="dxa"/>
            </w:tcMar>
            <w:vAlign w:val="center"/>
          </w:tcPr>
          <w:p>
            <w:pPr>
              <w:widowControl/>
              <w:jc w:val="left"/>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附表4：</w:t>
            </w:r>
          </w:p>
          <w:p>
            <w:pPr>
              <w:widowControl/>
              <w:jc w:val="left"/>
              <w:textAlignment w:val="center"/>
              <w:rPr>
                <w:rFonts w:ascii="宋体" w:hAnsi="宋体" w:cs="宋体"/>
                <w:color w:val="000000"/>
                <w:kern w:val="0"/>
                <w:sz w:val="22"/>
                <w:szCs w:val="22"/>
              </w:rPr>
            </w:pPr>
          </w:p>
          <w:p>
            <w:pPr>
              <w:spacing w:line="600" w:lineRule="exact"/>
              <w:jc w:val="center"/>
              <w:rPr>
                <w:rFonts w:eastAsia="方正小标宋_GBK"/>
                <w:sz w:val="36"/>
                <w:szCs w:val="36"/>
              </w:rPr>
            </w:pPr>
            <w:r>
              <w:rPr>
                <w:rFonts w:eastAsia="方正小标宋_GBK"/>
                <w:sz w:val="36"/>
                <w:szCs w:val="36"/>
              </w:rPr>
              <w:t>绩效评价结果征求意见的反馈函</w:t>
            </w:r>
          </w:p>
          <w:p>
            <w:pPr>
              <w:spacing w:line="600" w:lineRule="exact"/>
              <w:jc w:val="center"/>
              <w:rPr>
                <w:rFonts w:ascii="楷体" w:hAnsi="楷体" w:eastAsia="楷体" w:cs="楷体"/>
                <w:sz w:val="24"/>
              </w:rPr>
            </w:pPr>
            <w:r>
              <w:rPr>
                <w:rFonts w:hint="eastAsia" w:ascii="楷体" w:hAnsi="楷体" w:eastAsia="楷体" w:cs="楷体"/>
                <w:sz w:val="24"/>
              </w:rPr>
              <w:t>(重点绩效评价项目用）</w:t>
            </w:r>
          </w:p>
          <w:p>
            <w:pPr>
              <w:spacing w:line="60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spacing w:afterLines="100" w:line="600" w:lineRule="exact"/>
              <w:ind w:firstLine="640" w:firstLineChars="200"/>
              <w:rPr>
                <w:rFonts w:eastAsia="仿宋_GB2312"/>
                <w:sz w:val="32"/>
                <w:szCs w:val="32"/>
              </w:rPr>
            </w:pPr>
            <w:r>
              <w:rPr>
                <w:rFonts w:eastAsia="仿宋_GB2312"/>
                <w:sz w:val="32"/>
                <w:szCs w:val="32"/>
              </w:rPr>
              <w:t>按照相关规定和绩效评价要求，根据贵单位的绩效自评报告和绩效评价工作组的现场评价情况，形成绩效评价报告。现将《×××绩效评价报告》反馈贵单位，请于    年     月   日前提出书面意见或说明，逾期未复，视为无异议。</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75" w:type="dxa"/>
                  <w:vAlign w:val="center"/>
                </w:tcPr>
                <w:p>
                  <w:pPr>
                    <w:ind w:firstLine="560"/>
                    <w:jc w:val="center"/>
                    <w:rPr>
                      <w:rFonts w:eastAsia="黑体"/>
                      <w:sz w:val="28"/>
                      <w:szCs w:val="28"/>
                    </w:rPr>
                  </w:pPr>
                  <w:r>
                    <w:rPr>
                      <w:rFonts w:eastAsia="楷体_GB2312"/>
                      <w:sz w:val="28"/>
                      <w:szCs w:val="28"/>
                    </w:rPr>
                    <w:t>项目实施单位意见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3" w:hRule="atLeast"/>
                <w:jc w:val="center"/>
              </w:trPr>
              <w:tc>
                <w:tcPr>
                  <w:tcW w:w="9275" w:type="dxa"/>
                </w:tcPr>
                <w:p>
                  <w:pPr>
                    <w:ind w:firstLine="140" w:firstLineChars="50"/>
                    <w:rPr>
                      <w:rFonts w:eastAsia="黑体"/>
                      <w:sz w:val="28"/>
                      <w:szCs w:val="28"/>
                    </w:rPr>
                  </w:pPr>
                  <w:r>
                    <w:rPr>
                      <w:rFonts w:eastAsia="黑体"/>
                      <w:sz w:val="28"/>
                      <w:szCs w:val="28"/>
                    </w:rPr>
                    <w:t>一、对报告中“评价结论”的意见</w:t>
                  </w:r>
                </w:p>
                <w:p>
                  <w:pPr>
                    <w:ind w:firstLine="560"/>
                    <w:rPr>
                      <w:sz w:val="28"/>
                      <w:szCs w:val="28"/>
                    </w:rPr>
                  </w:pPr>
                </w:p>
                <w:p>
                  <w:pPr>
                    <w:ind w:firstLine="560"/>
                    <w:rPr>
                      <w:sz w:val="28"/>
                      <w:szCs w:val="28"/>
                    </w:rPr>
                  </w:pPr>
                </w:p>
                <w:p>
                  <w:pPr>
                    <w:ind w:firstLine="140" w:firstLineChars="50"/>
                    <w:rPr>
                      <w:rFonts w:eastAsia="黑体"/>
                      <w:sz w:val="28"/>
                      <w:szCs w:val="28"/>
                    </w:rPr>
                  </w:pPr>
                  <w:r>
                    <w:rPr>
                      <w:rFonts w:eastAsia="黑体"/>
                      <w:sz w:val="28"/>
                      <w:szCs w:val="28"/>
                    </w:rPr>
                    <w:t>二、对报告中“问题”和“建议”的意见</w:t>
                  </w:r>
                </w:p>
                <w:p>
                  <w:pPr>
                    <w:ind w:firstLine="560"/>
                    <w:rPr>
                      <w:sz w:val="28"/>
                      <w:szCs w:val="28"/>
                    </w:rPr>
                  </w:pPr>
                </w:p>
                <w:p>
                  <w:pPr>
                    <w:ind w:firstLine="560"/>
                    <w:rPr>
                      <w:sz w:val="28"/>
                      <w:szCs w:val="28"/>
                    </w:rPr>
                  </w:pPr>
                </w:p>
                <w:p>
                  <w:pPr>
                    <w:ind w:firstLine="560"/>
                    <w:rPr>
                      <w:sz w:val="28"/>
                      <w:szCs w:val="28"/>
                    </w:rPr>
                  </w:pPr>
                </w:p>
                <w:p>
                  <w:pPr>
                    <w:ind w:firstLine="140" w:firstLineChars="50"/>
                    <w:rPr>
                      <w:rFonts w:eastAsia="黑体"/>
                      <w:sz w:val="28"/>
                      <w:szCs w:val="28"/>
                    </w:rPr>
                  </w:pPr>
                  <w:r>
                    <w:rPr>
                      <w:rFonts w:eastAsia="黑体"/>
                      <w:sz w:val="28"/>
                      <w:szCs w:val="28"/>
                    </w:rPr>
                    <w:t>三、其它意见或建议</w:t>
                  </w:r>
                </w:p>
                <w:p>
                  <w:pPr>
                    <w:ind w:firstLine="560"/>
                    <w:rPr>
                      <w:sz w:val="28"/>
                      <w:szCs w:val="28"/>
                    </w:rPr>
                  </w:pPr>
                </w:p>
                <w:p>
                  <w:pPr>
                    <w:ind w:firstLine="560"/>
                    <w:rPr>
                      <w:sz w:val="28"/>
                      <w:szCs w:val="28"/>
                    </w:rPr>
                  </w:pPr>
                </w:p>
                <w:p>
                  <w:pPr>
                    <w:wordWrap w:val="0"/>
                    <w:ind w:right="1280"/>
                    <w:jc w:val="right"/>
                    <w:rPr>
                      <w:rFonts w:eastAsia="仿宋_GB2312"/>
                      <w:sz w:val="28"/>
                      <w:szCs w:val="28"/>
                    </w:rPr>
                  </w:pPr>
                  <w:r>
                    <w:rPr>
                      <w:rFonts w:eastAsia="仿宋_GB2312"/>
                      <w:sz w:val="28"/>
                      <w:szCs w:val="28"/>
                    </w:rPr>
                    <w:t>单位（盖章）</w:t>
                  </w:r>
                </w:p>
                <w:p>
                  <w:pPr>
                    <w:wordWrap w:val="0"/>
                    <w:ind w:right="1280"/>
                    <w:jc w:val="right"/>
                    <w:rPr>
                      <w:sz w:val="28"/>
                      <w:szCs w:val="28"/>
                    </w:rPr>
                  </w:pPr>
                  <w:r>
                    <w:rPr>
                      <w:rFonts w:eastAsia="仿宋_GB2312"/>
                      <w:sz w:val="28"/>
                      <w:szCs w:val="28"/>
                    </w:rPr>
                    <w:t>年   月   日</w:t>
                  </w:r>
                </w:p>
              </w:tc>
            </w:tr>
          </w:tbl>
          <w:p>
            <w:pPr>
              <w:widowControl/>
              <w:jc w:val="left"/>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附表5：</w:t>
            </w:r>
          </w:p>
          <w:p>
            <w:pPr>
              <w:jc w:val="center"/>
              <w:rPr>
                <w:rFonts w:eastAsia="方正小标宋_GBK"/>
                <w:sz w:val="36"/>
                <w:szCs w:val="36"/>
              </w:rPr>
            </w:pPr>
            <w:r>
              <w:rPr>
                <w:rFonts w:eastAsia="方正小标宋_GBK"/>
                <w:sz w:val="36"/>
                <w:szCs w:val="36"/>
              </w:rPr>
              <w:t>绩效评价结果整改报告书</w:t>
            </w:r>
          </w:p>
          <w:p>
            <w:pPr>
              <w:spacing w:afterLines="50"/>
              <w:jc w:val="center"/>
              <w:rPr>
                <w:sz w:val="28"/>
                <w:szCs w:val="28"/>
              </w:rPr>
            </w:pPr>
            <w:r>
              <w:rPr>
                <w:rFonts w:eastAsia="楷体_GB2312"/>
                <w:sz w:val="32"/>
                <w:szCs w:val="32"/>
              </w:rPr>
              <w:t>（参考格式）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7" w:type="dxa"/>
                  <w:vAlign w:val="center"/>
                </w:tcPr>
                <w:p>
                  <w:pPr>
                    <w:spacing w:line="320" w:lineRule="exact"/>
                    <w:jc w:val="center"/>
                    <w:rPr>
                      <w:rFonts w:ascii="黑体" w:hAnsi="黑体" w:eastAsia="黑体"/>
                      <w:szCs w:val="21"/>
                    </w:rPr>
                  </w:pPr>
                  <w:r>
                    <w:rPr>
                      <w:rFonts w:ascii="黑体" w:hAnsi="黑体" w:eastAsia="黑体"/>
                      <w:szCs w:val="21"/>
                    </w:rPr>
                    <w:t>预算支出名称</w:t>
                  </w:r>
                </w:p>
              </w:tc>
              <w:tc>
                <w:tcPr>
                  <w:tcW w:w="6773" w:type="dxa"/>
                </w:tcPr>
                <w:p>
                  <w:pPr>
                    <w:ind w:firstLine="5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7" w:type="dxa"/>
                  <w:vAlign w:val="center"/>
                </w:tcPr>
                <w:p>
                  <w:pPr>
                    <w:jc w:val="center"/>
                    <w:rPr>
                      <w:rFonts w:ascii="黑体" w:hAnsi="黑体" w:eastAsia="黑体"/>
                      <w:szCs w:val="21"/>
                    </w:rPr>
                  </w:pPr>
                  <w:r>
                    <w:rPr>
                      <w:rFonts w:ascii="黑体" w:hAnsi="黑体" w:eastAsia="黑体"/>
                      <w:szCs w:val="21"/>
                    </w:rPr>
                    <w:t>评价内容</w:t>
                  </w:r>
                </w:p>
              </w:tc>
              <w:tc>
                <w:tcPr>
                  <w:tcW w:w="6773" w:type="dxa"/>
                </w:tcPr>
                <w:p>
                  <w:pPr>
                    <w:ind w:firstLine="5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7" w:type="dxa"/>
                  <w:vAlign w:val="center"/>
                </w:tcPr>
                <w:p>
                  <w:pPr>
                    <w:jc w:val="center"/>
                    <w:rPr>
                      <w:rFonts w:ascii="黑体" w:hAnsi="黑体" w:eastAsia="黑体"/>
                      <w:szCs w:val="21"/>
                    </w:rPr>
                  </w:pPr>
                  <w:r>
                    <w:rPr>
                      <w:rFonts w:ascii="黑体" w:hAnsi="黑体" w:eastAsia="黑体"/>
                      <w:szCs w:val="21"/>
                    </w:rPr>
                    <w:t>联系人及电话</w:t>
                  </w:r>
                </w:p>
              </w:tc>
              <w:tc>
                <w:tcPr>
                  <w:tcW w:w="6773" w:type="dxa"/>
                </w:tcPr>
                <w:p>
                  <w:pPr>
                    <w:ind w:firstLine="5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9" w:hRule="atLeast"/>
              </w:trPr>
              <w:tc>
                <w:tcPr>
                  <w:tcW w:w="8600" w:type="dxa"/>
                  <w:gridSpan w:val="2"/>
                </w:tcPr>
                <w:p>
                  <w:pPr>
                    <w:ind w:right="-27" w:rightChars="-13"/>
                    <w:jc w:val="center"/>
                    <w:rPr>
                      <w:szCs w:val="21"/>
                    </w:rPr>
                  </w:pPr>
                  <w:r>
                    <w:rPr>
                      <w:szCs w:val="21"/>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27" w:type="dxa"/>
                  <w:vAlign w:val="center"/>
                </w:tcPr>
                <w:p>
                  <w:pPr>
                    <w:ind w:right="-27" w:rightChars="-13"/>
                    <w:jc w:val="center"/>
                    <w:rPr>
                      <w:rFonts w:ascii="仿宋_GB2312" w:eastAsia="仿宋_GB2312"/>
                      <w:szCs w:val="21"/>
                    </w:rPr>
                  </w:pPr>
                  <w:r>
                    <w:rPr>
                      <w:rFonts w:hint="eastAsia" w:ascii="仿宋_GB2312" w:eastAsia="仿宋_GB2312"/>
                      <w:szCs w:val="21"/>
                    </w:rPr>
                    <w:t>单位意见</w:t>
                  </w:r>
                </w:p>
              </w:tc>
              <w:tc>
                <w:tcPr>
                  <w:tcW w:w="6773" w:type="dxa"/>
                  <w:vAlign w:val="bottom"/>
                </w:tcPr>
                <w:p>
                  <w:pPr>
                    <w:ind w:right="-27" w:rightChars="-13" w:firstLine="4935" w:firstLineChars="2350"/>
                    <w:jc w:val="center"/>
                    <w:rPr>
                      <w:rFonts w:ascii="仿宋_GB2312" w:eastAsia="仿宋_GB2312"/>
                      <w:szCs w:val="21"/>
                    </w:rPr>
                  </w:pPr>
                  <w:r>
                    <w:rPr>
                      <w:rFonts w:hint="eastAsia" w:ascii="仿宋_GB2312" w:eastAsia="仿宋_GB2312"/>
                      <w:szCs w:val="21"/>
                    </w:rPr>
                    <w:t>单位（盖章）：</w:t>
                  </w:r>
                </w:p>
                <w:p>
                  <w:pPr>
                    <w:ind w:right="-27" w:rightChars="-13"/>
                    <w:jc w:val="center"/>
                    <w:rPr>
                      <w:rFonts w:ascii="仿宋_GB2312" w:eastAsia="仿宋_GB2312"/>
                      <w:szCs w:val="21"/>
                    </w:rPr>
                  </w:pPr>
                  <w:r>
                    <w:rPr>
                      <w:rFonts w:hint="eastAsia" w:ascii="仿宋_GB2312" w:eastAsia="仿宋_GB2312"/>
                      <w:szCs w:val="21"/>
                    </w:rPr>
                    <w:t>单位负责人签名：                            年    月    日</w:t>
                  </w:r>
                </w:p>
              </w:tc>
            </w:tr>
          </w:tbl>
          <w:p>
            <w:pPr>
              <w:widowControl/>
              <w:jc w:val="left"/>
              <w:textAlignment w:val="center"/>
              <w:rPr>
                <w:rFonts w:ascii="宋体" w:hAnsi="宋体" w:cs="宋体"/>
                <w:color w:val="000000"/>
                <w:kern w:val="0"/>
                <w:sz w:val="22"/>
                <w:szCs w:val="22"/>
              </w:rPr>
            </w:pPr>
          </w:p>
          <w:p>
            <w:pPr>
              <w:rPr>
                <w:rFonts w:ascii="宋体" w:hAnsi="宋体" w:cs="宋体"/>
                <w:color w:val="000000"/>
                <w:kern w:val="0"/>
                <w:sz w:val="22"/>
                <w:szCs w:val="22"/>
              </w:rPr>
            </w:pPr>
            <w:r>
              <w:rPr>
                <w:rFonts w:hint="eastAsia" w:ascii="宋体" w:hAnsi="宋体" w:cs="宋体"/>
                <w:b/>
                <w:szCs w:val="21"/>
              </w:rPr>
              <w:t>注</w:t>
            </w:r>
            <w:r>
              <w:rPr>
                <w:rFonts w:hint="eastAsia" w:ascii="宋体" w:hAnsi="宋体" w:cs="宋体"/>
                <w:bCs/>
                <w:szCs w:val="21"/>
              </w:rPr>
              <w:t>：绩效评价结果整改报告书应在收到绩效评价结果反馈意见后15天内交区财政局绩效管理股。</w:t>
            </w:r>
          </w:p>
        </w:tc>
      </w:tr>
    </w:tbl>
    <w:p>
      <w:pPr>
        <w:adjustRightInd w:val="0"/>
        <w:snapToGrid w:val="0"/>
        <w:spacing w:line="200" w:lineRule="exact"/>
        <w:contextualSpacing/>
        <w:jc w:val="right"/>
        <w:rPr>
          <w:rFonts w:eastAsia="仿宋_GB2312"/>
          <w:sz w:val="32"/>
        </w:rPr>
      </w:pPr>
    </w:p>
    <w:p/>
    <w:p/>
    <w:p/>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lang w:val="en-US" w:eastAsia="zh-CN"/>
      </w:rPr>
      <w:t>2</w:t>
    </w:r>
    <w:r>
      <w:rPr>
        <w:sz w:val="24"/>
        <w:szCs w:val="24"/>
      </w:rPr>
      <w:fldChar w:fldCharType="end"/>
    </w:r>
    <w:r>
      <w:rPr>
        <w:rStyle w:val="10"/>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17</w:t>
    </w:r>
    <w:r>
      <w:rPr>
        <w:sz w:val="24"/>
        <w:szCs w:val="24"/>
      </w:rPr>
      <w:fldChar w:fldCharType="end"/>
    </w:r>
    <w:r>
      <w:rPr>
        <w:rStyle w:val="10"/>
        <w:rFonts w:hint="eastAsia"/>
        <w:sz w:val="24"/>
        <w:szCs w:val="24"/>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lang w:val="en-US" w:eastAsia="zh-CN"/>
      </w:rPr>
      <w:t>34</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64F87"/>
    <w:multiLevelType w:val="singleLevel"/>
    <w:tmpl w:val="F6A64F87"/>
    <w:lvl w:ilvl="0" w:tentative="0">
      <w:start w:val="4"/>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25"/>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NotTrackMoves/>
  <w:documentProtection w:enforcement="0"/>
  <w:defaultTabStop w:val="420"/>
  <w:drawingGridHorizontalSpacing w:val="103"/>
  <w:drawingGridVerticalSpacing w:val="30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1F0"/>
    <w:rsid w:val="00017F19"/>
    <w:rsid w:val="000322FE"/>
    <w:rsid w:val="00037EA3"/>
    <w:rsid w:val="00057B0C"/>
    <w:rsid w:val="00083A84"/>
    <w:rsid w:val="00095FBA"/>
    <w:rsid w:val="000975B6"/>
    <w:rsid w:val="000A1C69"/>
    <w:rsid w:val="000A7A67"/>
    <w:rsid w:val="000B0058"/>
    <w:rsid w:val="000B0F8D"/>
    <w:rsid w:val="000F5FF6"/>
    <w:rsid w:val="001A521A"/>
    <w:rsid w:val="001B7CED"/>
    <w:rsid w:val="00217BDF"/>
    <w:rsid w:val="00245DD6"/>
    <w:rsid w:val="00253BA0"/>
    <w:rsid w:val="002841F0"/>
    <w:rsid w:val="002A26C5"/>
    <w:rsid w:val="002B0015"/>
    <w:rsid w:val="002C29C8"/>
    <w:rsid w:val="002D39E9"/>
    <w:rsid w:val="002E2754"/>
    <w:rsid w:val="00300D6D"/>
    <w:rsid w:val="00323747"/>
    <w:rsid w:val="00381C01"/>
    <w:rsid w:val="003C18A0"/>
    <w:rsid w:val="00402332"/>
    <w:rsid w:val="00403204"/>
    <w:rsid w:val="0040466A"/>
    <w:rsid w:val="00424CB9"/>
    <w:rsid w:val="00475C30"/>
    <w:rsid w:val="004765CE"/>
    <w:rsid w:val="00477D46"/>
    <w:rsid w:val="004A4064"/>
    <w:rsid w:val="004D6EF5"/>
    <w:rsid w:val="0057564F"/>
    <w:rsid w:val="00583D39"/>
    <w:rsid w:val="005938EF"/>
    <w:rsid w:val="005C3239"/>
    <w:rsid w:val="005C6C45"/>
    <w:rsid w:val="005E19CE"/>
    <w:rsid w:val="005E5EC7"/>
    <w:rsid w:val="00605269"/>
    <w:rsid w:val="00625AFB"/>
    <w:rsid w:val="00641ABF"/>
    <w:rsid w:val="006622CD"/>
    <w:rsid w:val="00680C7E"/>
    <w:rsid w:val="006D40DF"/>
    <w:rsid w:val="00727835"/>
    <w:rsid w:val="00736F10"/>
    <w:rsid w:val="0074439A"/>
    <w:rsid w:val="00780DF4"/>
    <w:rsid w:val="007879F4"/>
    <w:rsid w:val="007B0791"/>
    <w:rsid w:val="007C323E"/>
    <w:rsid w:val="007D6ADE"/>
    <w:rsid w:val="007D6C40"/>
    <w:rsid w:val="007E5E22"/>
    <w:rsid w:val="007E730D"/>
    <w:rsid w:val="007F5622"/>
    <w:rsid w:val="0080259B"/>
    <w:rsid w:val="008073F2"/>
    <w:rsid w:val="00845D04"/>
    <w:rsid w:val="008469D8"/>
    <w:rsid w:val="00852EBC"/>
    <w:rsid w:val="008556AF"/>
    <w:rsid w:val="008A783C"/>
    <w:rsid w:val="008F2FB6"/>
    <w:rsid w:val="00953EA1"/>
    <w:rsid w:val="00960AAE"/>
    <w:rsid w:val="009C6531"/>
    <w:rsid w:val="009E65BD"/>
    <w:rsid w:val="009E6E31"/>
    <w:rsid w:val="00A02C2D"/>
    <w:rsid w:val="00A161B1"/>
    <w:rsid w:val="00A44677"/>
    <w:rsid w:val="00A60759"/>
    <w:rsid w:val="00A62C5E"/>
    <w:rsid w:val="00A64A64"/>
    <w:rsid w:val="00A82A31"/>
    <w:rsid w:val="00AA29CB"/>
    <w:rsid w:val="00AB2230"/>
    <w:rsid w:val="00AC0196"/>
    <w:rsid w:val="00AD2412"/>
    <w:rsid w:val="00B00A50"/>
    <w:rsid w:val="00B065A7"/>
    <w:rsid w:val="00B07287"/>
    <w:rsid w:val="00B4629C"/>
    <w:rsid w:val="00B52021"/>
    <w:rsid w:val="00B92F93"/>
    <w:rsid w:val="00B95CAE"/>
    <w:rsid w:val="00BA3499"/>
    <w:rsid w:val="00BE1AEE"/>
    <w:rsid w:val="00BE62A1"/>
    <w:rsid w:val="00BF7950"/>
    <w:rsid w:val="00C0530B"/>
    <w:rsid w:val="00C27776"/>
    <w:rsid w:val="00C44F64"/>
    <w:rsid w:val="00CA40F2"/>
    <w:rsid w:val="00CB3656"/>
    <w:rsid w:val="00CD7AF8"/>
    <w:rsid w:val="00D04CC5"/>
    <w:rsid w:val="00D1035F"/>
    <w:rsid w:val="00D34C75"/>
    <w:rsid w:val="00D51716"/>
    <w:rsid w:val="00D6084C"/>
    <w:rsid w:val="00E315F0"/>
    <w:rsid w:val="00E3574A"/>
    <w:rsid w:val="00E67A42"/>
    <w:rsid w:val="00EA0819"/>
    <w:rsid w:val="00EA6EB0"/>
    <w:rsid w:val="00EA79DC"/>
    <w:rsid w:val="00ED5EAE"/>
    <w:rsid w:val="00ED6520"/>
    <w:rsid w:val="00EE1ED8"/>
    <w:rsid w:val="00EF30CB"/>
    <w:rsid w:val="00EF7C52"/>
    <w:rsid w:val="00F32610"/>
    <w:rsid w:val="00F46049"/>
    <w:rsid w:val="00F862F4"/>
    <w:rsid w:val="00FC2E82"/>
    <w:rsid w:val="013E66F4"/>
    <w:rsid w:val="014111EF"/>
    <w:rsid w:val="014360D0"/>
    <w:rsid w:val="015013C0"/>
    <w:rsid w:val="01526F47"/>
    <w:rsid w:val="016E0C27"/>
    <w:rsid w:val="019A23BE"/>
    <w:rsid w:val="01D63F7F"/>
    <w:rsid w:val="01E46D33"/>
    <w:rsid w:val="0212687A"/>
    <w:rsid w:val="02597329"/>
    <w:rsid w:val="028E7519"/>
    <w:rsid w:val="029418F9"/>
    <w:rsid w:val="02A72A92"/>
    <w:rsid w:val="02E246B7"/>
    <w:rsid w:val="02FF7B95"/>
    <w:rsid w:val="031635A7"/>
    <w:rsid w:val="0320554C"/>
    <w:rsid w:val="0329757B"/>
    <w:rsid w:val="03312FA5"/>
    <w:rsid w:val="035B7AD3"/>
    <w:rsid w:val="0365433F"/>
    <w:rsid w:val="036B78CB"/>
    <w:rsid w:val="0391469A"/>
    <w:rsid w:val="03DB41BC"/>
    <w:rsid w:val="03E84AC9"/>
    <w:rsid w:val="03F0205B"/>
    <w:rsid w:val="041373A1"/>
    <w:rsid w:val="044C7C26"/>
    <w:rsid w:val="0497623E"/>
    <w:rsid w:val="04A723E3"/>
    <w:rsid w:val="04AE0083"/>
    <w:rsid w:val="04DD26DF"/>
    <w:rsid w:val="04ED4AAA"/>
    <w:rsid w:val="05275530"/>
    <w:rsid w:val="0536794C"/>
    <w:rsid w:val="05446371"/>
    <w:rsid w:val="05473CF6"/>
    <w:rsid w:val="058A7643"/>
    <w:rsid w:val="05A54A2B"/>
    <w:rsid w:val="05C105C8"/>
    <w:rsid w:val="05CE1257"/>
    <w:rsid w:val="05D4122A"/>
    <w:rsid w:val="05EF69F7"/>
    <w:rsid w:val="062E2ADC"/>
    <w:rsid w:val="063B4A86"/>
    <w:rsid w:val="065950A7"/>
    <w:rsid w:val="066C0604"/>
    <w:rsid w:val="068B6B83"/>
    <w:rsid w:val="069857CC"/>
    <w:rsid w:val="06BE78B0"/>
    <w:rsid w:val="06F95FF9"/>
    <w:rsid w:val="073A1036"/>
    <w:rsid w:val="074A4EA6"/>
    <w:rsid w:val="07643F03"/>
    <w:rsid w:val="07B04FE2"/>
    <w:rsid w:val="07CB0980"/>
    <w:rsid w:val="07D12EA5"/>
    <w:rsid w:val="07E0609D"/>
    <w:rsid w:val="07E278CA"/>
    <w:rsid w:val="07E35C17"/>
    <w:rsid w:val="07EE21D6"/>
    <w:rsid w:val="08275445"/>
    <w:rsid w:val="082839F5"/>
    <w:rsid w:val="08337594"/>
    <w:rsid w:val="08433478"/>
    <w:rsid w:val="084C6309"/>
    <w:rsid w:val="0858423C"/>
    <w:rsid w:val="085A254A"/>
    <w:rsid w:val="08904EE5"/>
    <w:rsid w:val="08F53F6E"/>
    <w:rsid w:val="08FE2110"/>
    <w:rsid w:val="09386B26"/>
    <w:rsid w:val="09491FA1"/>
    <w:rsid w:val="09653D61"/>
    <w:rsid w:val="097643FB"/>
    <w:rsid w:val="098E65CF"/>
    <w:rsid w:val="09967A76"/>
    <w:rsid w:val="0A3D0937"/>
    <w:rsid w:val="0A4C6CF4"/>
    <w:rsid w:val="0A882C7C"/>
    <w:rsid w:val="0AA07F0D"/>
    <w:rsid w:val="0AA91D63"/>
    <w:rsid w:val="0ABE718A"/>
    <w:rsid w:val="0ABE73AD"/>
    <w:rsid w:val="0B096864"/>
    <w:rsid w:val="0B1D7CCB"/>
    <w:rsid w:val="0B366FAE"/>
    <w:rsid w:val="0B3C2B75"/>
    <w:rsid w:val="0B4D0A44"/>
    <w:rsid w:val="0B7C1CDB"/>
    <w:rsid w:val="0BBB2281"/>
    <w:rsid w:val="0BBC7A9C"/>
    <w:rsid w:val="0BDD56C4"/>
    <w:rsid w:val="0BF02513"/>
    <w:rsid w:val="0C635C5B"/>
    <w:rsid w:val="0CAD5A32"/>
    <w:rsid w:val="0CBD00AE"/>
    <w:rsid w:val="0CC14A99"/>
    <w:rsid w:val="0CE93D00"/>
    <w:rsid w:val="0D0D16CA"/>
    <w:rsid w:val="0D7B438E"/>
    <w:rsid w:val="0D9F01DD"/>
    <w:rsid w:val="0DCC4B9B"/>
    <w:rsid w:val="0DDC3323"/>
    <w:rsid w:val="0E26090A"/>
    <w:rsid w:val="0E270E6E"/>
    <w:rsid w:val="0E2A616F"/>
    <w:rsid w:val="0E4413FE"/>
    <w:rsid w:val="0E537656"/>
    <w:rsid w:val="0E7B1096"/>
    <w:rsid w:val="0E86750B"/>
    <w:rsid w:val="0F261B0E"/>
    <w:rsid w:val="0F2A5E71"/>
    <w:rsid w:val="0F34483A"/>
    <w:rsid w:val="0F435C3F"/>
    <w:rsid w:val="0F7D6584"/>
    <w:rsid w:val="0FE52EF1"/>
    <w:rsid w:val="0FEA68A6"/>
    <w:rsid w:val="10036608"/>
    <w:rsid w:val="100A6AD4"/>
    <w:rsid w:val="1012241A"/>
    <w:rsid w:val="101571EE"/>
    <w:rsid w:val="101F681B"/>
    <w:rsid w:val="10257E16"/>
    <w:rsid w:val="102B6F19"/>
    <w:rsid w:val="107124B2"/>
    <w:rsid w:val="10792C66"/>
    <w:rsid w:val="10D55CAE"/>
    <w:rsid w:val="11390075"/>
    <w:rsid w:val="11511AB2"/>
    <w:rsid w:val="116A18B5"/>
    <w:rsid w:val="11BF2474"/>
    <w:rsid w:val="11E41C63"/>
    <w:rsid w:val="11F33802"/>
    <w:rsid w:val="11F838A0"/>
    <w:rsid w:val="11FD247C"/>
    <w:rsid w:val="121142F5"/>
    <w:rsid w:val="12254877"/>
    <w:rsid w:val="1279179E"/>
    <w:rsid w:val="127C1362"/>
    <w:rsid w:val="12937442"/>
    <w:rsid w:val="12C94E1D"/>
    <w:rsid w:val="12E25C8F"/>
    <w:rsid w:val="12F66175"/>
    <w:rsid w:val="13111CCA"/>
    <w:rsid w:val="13271272"/>
    <w:rsid w:val="13A00373"/>
    <w:rsid w:val="13AB1779"/>
    <w:rsid w:val="13D4730E"/>
    <w:rsid w:val="13FE4C0C"/>
    <w:rsid w:val="14165BA0"/>
    <w:rsid w:val="143F3B6E"/>
    <w:rsid w:val="147D6BDD"/>
    <w:rsid w:val="147D7E20"/>
    <w:rsid w:val="14982D02"/>
    <w:rsid w:val="14B75FDD"/>
    <w:rsid w:val="14CA3BB5"/>
    <w:rsid w:val="14E17C7E"/>
    <w:rsid w:val="15A242EB"/>
    <w:rsid w:val="15C4429B"/>
    <w:rsid w:val="15E2352D"/>
    <w:rsid w:val="15E66FF7"/>
    <w:rsid w:val="160730DF"/>
    <w:rsid w:val="163B1335"/>
    <w:rsid w:val="169A57A2"/>
    <w:rsid w:val="16A263C2"/>
    <w:rsid w:val="16B00725"/>
    <w:rsid w:val="16F83B8C"/>
    <w:rsid w:val="17372860"/>
    <w:rsid w:val="176C2F55"/>
    <w:rsid w:val="177C1BE6"/>
    <w:rsid w:val="17802CBE"/>
    <w:rsid w:val="17823817"/>
    <w:rsid w:val="17975995"/>
    <w:rsid w:val="17D71409"/>
    <w:rsid w:val="18073CD5"/>
    <w:rsid w:val="18157E55"/>
    <w:rsid w:val="181E59CB"/>
    <w:rsid w:val="1866025E"/>
    <w:rsid w:val="18956220"/>
    <w:rsid w:val="18A01C0A"/>
    <w:rsid w:val="18B356FE"/>
    <w:rsid w:val="190D4F24"/>
    <w:rsid w:val="190D7940"/>
    <w:rsid w:val="19AA2168"/>
    <w:rsid w:val="19AE32CC"/>
    <w:rsid w:val="19B571DA"/>
    <w:rsid w:val="19E349D5"/>
    <w:rsid w:val="19EB06CD"/>
    <w:rsid w:val="1A1E5E3B"/>
    <w:rsid w:val="1A244600"/>
    <w:rsid w:val="1A3457BB"/>
    <w:rsid w:val="1A396050"/>
    <w:rsid w:val="1A4C4B5B"/>
    <w:rsid w:val="1A5D2537"/>
    <w:rsid w:val="1A5E1CA9"/>
    <w:rsid w:val="1A7418D0"/>
    <w:rsid w:val="1A8B4866"/>
    <w:rsid w:val="1A9101F5"/>
    <w:rsid w:val="1AA80112"/>
    <w:rsid w:val="1ABF08CE"/>
    <w:rsid w:val="1AD5401E"/>
    <w:rsid w:val="1B066954"/>
    <w:rsid w:val="1B2125D8"/>
    <w:rsid w:val="1B5B7DEE"/>
    <w:rsid w:val="1B793321"/>
    <w:rsid w:val="1B802902"/>
    <w:rsid w:val="1BA34A44"/>
    <w:rsid w:val="1C084E76"/>
    <w:rsid w:val="1C307184"/>
    <w:rsid w:val="1C5E1C01"/>
    <w:rsid w:val="1C845B58"/>
    <w:rsid w:val="1C9278DC"/>
    <w:rsid w:val="1C957A32"/>
    <w:rsid w:val="1D2A1481"/>
    <w:rsid w:val="1D3138DD"/>
    <w:rsid w:val="1D321B3B"/>
    <w:rsid w:val="1D3F3C7C"/>
    <w:rsid w:val="1D441D4A"/>
    <w:rsid w:val="1D521206"/>
    <w:rsid w:val="1D7464AE"/>
    <w:rsid w:val="1DAE01D7"/>
    <w:rsid w:val="1DF94969"/>
    <w:rsid w:val="1DFF6547"/>
    <w:rsid w:val="1E070C48"/>
    <w:rsid w:val="1E0D074B"/>
    <w:rsid w:val="1E217AAD"/>
    <w:rsid w:val="1E3F77FE"/>
    <w:rsid w:val="1EDE744A"/>
    <w:rsid w:val="1EE416FB"/>
    <w:rsid w:val="1EF25ED7"/>
    <w:rsid w:val="1EF6253D"/>
    <w:rsid w:val="1F094269"/>
    <w:rsid w:val="1F0E510F"/>
    <w:rsid w:val="1F20225E"/>
    <w:rsid w:val="1F4256F1"/>
    <w:rsid w:val="1F78629F"/>
    <w:rsid w:val="1F8278BD"/>
    <w:rsid w:val="1F833C64"/>
    <w:rsid w:val="1F9373A5"/>
    <w:rsid w:val="20295DE0"/>
    <w:rsid w:val="208536D3"/>
    <w:rsid w:val="208B4C62"/>
    <w:rsid w:val="20916C3E"/>
    <w:rsid w:val="209F4C94"/>
    <w:rsid w:val="20FB6A5B"/>
    <w:rsid w:val="21236DB8"/>
    <w:rsid w:val="212435CF"/>
    <w:rsid w:val="213C61CB"/>
    <w:rsid w:val="21705BDB"/>
    <w:rsid w:val="21933B14"/>
    <w:rsid w:val="21A95070"/>
    <w:rsid w:val="21B26BE5"/>
    <w:rsid w:val="22221145"/>
    <w:rsid w:val="2222738F"/>
    <w:rsid w:val="22491E37"/>
    <w:rsid w:val="227A2260"/>
    <w:rsid w:val="22897DA2"/>
    <w:rsid w:val="228A7DDC"/>
    <w:rsid w:val="229659B1"/>
    <w:rsid w:val="22B1243D"/>
    <w:rsid w:val="22C828C4"/>
    <w:rsid w:val="237D6BA7"/>
    <w:rsid w:val="23C26BB2"/>
    <w:rsid w:val="23CA5153"/>
    <w:rsid w:val="24382279"/>
    <w:rsid w:val="243D02D8"/>
    <w:rsid w:val="24484196"/>
    <w:rsid w:val="252764AB"/>
    <w:rsid w:val="2538616E"/>
    <w:rsid w:val="25560AE6"/>
    <w:rsid w:val="25E72633"/>
    <w:rsid w:val="262D531A"/>
    <w:rsid w:val="264A5E67"/>
    <w:rsid w:val="266B0573"/>
    <w:rsid w:val="266E1D5A"/>
    <w:rsid w:val="267655C2"/>
    <w:rsid w:val="269A0FD3"/>
    <w:rsid w:val="26B15D77"/>
    <w:rsid w:val="26F1304A"/>
    <w:rsid w:val="2746225A"/>
    <w:rsid w:val="27584378"/>
    <w:rsid w:val="275C22B1"/>
    <w:rsid w:val="277056DD"/>
    <w:rsid w:val="27780C69"/>
    <w:rsid w:val="27840FE1"/>
    <w:rsid w:val="27995F60"/>
    <w:rsid w:val="27A60160"/>
    <w:rsid w:val="27DB4938"/>
    <w:rsid w:val="27EE0601"/>
    <w:rsid w:val="28025039"/>
    <w:rsid w:val="28041BFA"/>
    <w:rsid w:val="28370B67"/>
    <w:rsid w:val="28762832"/>
    <w:rsid w:val="28947BCD"/>
    <w:rsid w:val="28984AB6"/>
    <w:rsid w:val="28A55F34"/>
    <w:rsid w:val="28D96B2E"/>
    <w:rsid w:val="29172B31"/>
    <w:rsid w:val="292F1373"/>
    <w:rsid w:val="29730331"/>
    <w:rsid w:val="297C6320"/>
    <w:rsid w:val="299504AB"/>
    <w:rsid w:val="2A095ABC"/>
    <w:rsid w:val="2A4933AC"/>
    <w:rsid w:val="2A6A3142"/>
    <w:rsid w:val="2AE21609"/>
    <w:rsid w:val="2B240EE6"/>
    <w:rsid w:val="2B2E0A5A"/>
    <w:rsid w:val="2B6F1F22"/>
    <w:rsid w:val="2B6F693F"/>
    <w:rsid w:val="2B873415"/>
    <w:rsid w:val="2B8A17F3"/>
    <w:rsid w:val="2BD16630"/>
    <w:rsid w:val="2BE410F7"/>
    <w:rsid w:val="2C921FE7"/>
    <w:rsid w:val="2CAA0AF4"/>
    <w:rsid w:val="2CAE3B45"/>
    <w:rsid w:val="2CC6187E"/>
    <w:rsid w:val="2CD22730"/>
    <w:rsid w:val="2CEB55F0"/>
    <w:rsid w:val="2D515207"/>
    <w:rsid w:val="2D735487"/>
    <w:rsid w:val="2D93354F"/>
    <w:rsid w:val="2D9901B1"/>
    <w:rsid w:val="2DD14A1D"/>
    <w:rsid w:val="2DF94A03"/>
    <w:rsid w:val="2EBF6246"/>
    <w:rsid w:val="2EC1514C"/>
    <w:rsid w:val="2EF04F32"/>
    <w:rsid w:val="2EF7172C"/>
    <w:rsid w:val="2F4D0443"/>
    <w:rsid w:val="2F7D7F41"/>
    <w:rsid w:val="2FA16DD5"/>
    <w:rsid w:val="2FC817CE"/>
    <w:rsid w:val="303325D7"/>
    <w:rsid w:val="304647E5"/>
    <w:rsid w:val="304A3EF4"/>
    <w:rsid w:val="30656833"/>
    <w:rsid w:val="306C1463"/>
    <w:rsid w:val="30720C99"/>
    <w:rsid w:val="30741035"/>
    <w:rsid w:val="30807177"/>
    <w:rsid w:val="30934252"/>
    <w:rsid w:val="30BB5135"/>
    <w:rsid w:val="30E10C5E"/>
    <w:rsid w:val="30E16BF3"/>
    <w:rsid w:val="30FB352C"/>
    <w:rsid w:val="31006CAB"/>
    <w:rsid w:val="31306295"/>
    <w:rsid w:val="31440057"/>
    <w:rsid w:val="314A0862"/>
    <w:rsid w:val="31927D71"/>
    <w:rsid w:val="32026D9C"/>
    <w:rsid w:val="323C3E79"/>
    <w:rsid w:val="32406A58"/>
    <w:rsid w:val="324C352A"/>
    <w:rsid w:val="325B5143"/>
    <w:rsid w:val="325C0959"/>
    <w:rsid w:val="32964D84"/>
    <w:rsid w:val="329F6DDB"/>
    <w:rsid w:val="32B41BE1"/>
    <w:rsid w:val="32C9470B"/>
    <w:rsid w:val="32F22914"/>
    <w:rsid w:val="33023051"/>
    <w:rsid w:val="330E08EF"/>
    <w:rsid w:val="33193010"/>
    <w:rsid w:val="33241E84"/>
    <w:rsid w:val="33471816"/>
    <w:rsid w:val="33645DFE"/>
    <w:rsid w:val="33AB541C"/>
    <w:rsid w:val="33AC7705"/>
    <w:rsid w:val="33B82FE2"/>
    <w:rsid w:val="33DA54F0"/>
    <w:rsid w:val="33EB13DE"/>
    <w:rsid w:val="341A5207"/>
    <w:rsid w:val="34326629"/>
    <w:rsid w:val="3436555C"/>
    <w:rsid w:val="345D3A3C"/>
    <w:rsid w:val="349C68B7"/>
    <w:rsid w:val="34B32BA5"/>
    <w:rsid w:val="34D74F44"/>
    <w:rsid w:val="34EF1C69"/>
    <w:rsid w:val="351C4937"/>
    <w:rsid w:val="3521751B"/>
    <w:rsid w:val="3538758F"/>
    <w:rsid w:val="355469C1"/>
    <w:rsid w:val="35814227"/>
    <w:rsid w:val="35921351"/>
    <w:rsid w:val="35AF2B08"/>
    <w:rsid w:val="35DE6650"/>
    <w:rsid w:val="3609110A"/>
    <w:rsid w:val="36573A60"/>
    <w:rsid w:val="36980FB2"/>
    <w:rsid w:val="36A416D4"/>
    <w:rsid w:val="36D109D7"/>
    <w:rsid w:val="371C35E2"/>
    <w:rsid w:val="372459C6"/>
    <w:rsid w:val="373F6673"/>
    <w:rsid w:val="374D3268"/>
    <w:rsid w:val="379654DD"/>
    <w:rsid w:val="37B9404F"/>
    <w:rsid w:val="37DA58A1"/>
    <w:rsid w:val="37E73D3B"/>
    <w:rsid w:val="37E93D29"/>
    <w:rsid w:val="37F8349E"/>
    <w:rsid w:val="387F418D"/>
    <w:rsid w:val="3897294D"/>
    <w:rsid w:val="38C14604"/>
    <w:rsid w:val="38CB4023"/>
    <w:rsid w:val="38D41464"/>
    <w:rsid w:val="38F757BE"/>
    <w:rsid w:val="3968465A"/>
    <w:rsid w:val="39696AC7"/>
    <w:rsid w:val="39DA5B06"/>
    <w:rsid w:val="39EC58CC"/>
    <w:rsid w:val="3A1E3ECA"/>
    <w:rsid w:val="3A961FC4"/>
    <w:rsid w:val="3AB66084"/>
    <w:rsid w:val="3ACD0224"/>
    <w:rsid w:val="3AE5771D"/>
    <w:rsid w:val="3AE90FAD"/>
    <w:rsid w:val="3B0D3167"/>
    <w:rsid w:val="3B1861DB"/>
    <w:rsid w:val="3B327BD4"/>
    <w:rsid w:val="3B741A64"/>
    <w:rsid w:val="3BE40A76"/>
    <w:rsid w:val="3BF263EC"/>
    <w:rsid w:val="3C1039CE"/>
    <w:rsid w:val="3C2915AB"/>
    <w:rsid w:val="3C686097"/>
    <w:rsid w:val="3C720313"/>
    <w:rsid w:val="3CAA7A33"/>
    <w:rsid w:val="3CAE4675"/>
    <w:rsid w:val="3D217EE9"/>
    <w:rsid w:val="3D2B1F22"/>
    <w:rsid w:val="3D3918BA"/>
    <w:rsid w:val="3D424DA4"/>
    <w:rsid w:val="3D4609EE"/>
    <w:rsid w:val="3D907470"/>
    <w:rsid w:val="3DAD3DC0"/>
    <w:rsid w:val="3DAE3154"/>
    <w:rsid w:val="3DB816A2"/>
    <w:rsid w:val="3DE568E7"/>
    <w:rsid w:val="3E2A134F"/>
    <w:rsid w:val="3E582318"/>
    <w:rsid w:val="3F112F1D"/>
    <w:rsid w:val="3F3C0271"/>
    <w:rsid w:val="3F471A01"/>
    <w:rsid w:val="3F487FA4"/>
    <w:rsid w:val="3F5B34D7"/>
    <w:rsid w:val="3FAD0C2D"/>
    <w:rsid w:val="3FB47068"/>
    <w:rsid w:val="3FFB5471"/>
    <w:rsid w:val="40024212"/>
    <w:rsid w:val="400369AF"/>
    <w:rsid w:val="40773AF4"/>
    <w:rsid w:val="40950DFF"/>
    <w:rsid w:val="415B23B1"/>
    <w:rsid w:val="41961BCA"/>
    <w:rsid w:val="419953DB"/>
    <w:rsid w:val="419F53F5"/>
    <w:rsid w:val="41B46F9A"/>
    <w:rsid w:val="41D535A9"/>
    <w:rsid w:val="41E203A3"/>
    <w:rsid w:val="41F01F5E"/>
    <w:rsid w:val="421F6412"/>
    <w:rsid w:val="42265FED"/>
    <w:rsid w:val="423927F0"/>
    <w:rsid w:val="425575C0"/>
    <w:rsid w:val="429A12E2"/>
    <w:rsid w:val="42B53D78"/>
    <w:rsid w:val="42F87535"/>
    <w:rsid w:val="433C620C"/>
    <w:rsid w:val="436B0F98"/>
    <w:rsid w:val="437F1039"/>
    <w:rsid w:val="43874783"/>
    <w:rsid w:val="439C3589"/>
    <w:rsid w:val="439F40F4"/>
    <w:rsid w:val="43C83B6D"/>
    <w:rsid w:val="440E7DE5"/>
    <w:rsid w:val="441E368A"/>
    <w:rsid w:val="44695F79"/>
    <w:rsid w:val="44753D0C"/>
    <w:rsid w:val="44AF1E56"/>
    <w:rsid w:val="44CE2073"/>
    <w:rsid w:val="457225D4"/>
    <w:rsid w:val="458E2D79"/>
    <w:rsid w:val="45945099"/>
    <w:rsid w:val="45A64BE0"/>
    <w:rsid w:val="45B45902"/>
    <w:rsid w:val="45D07E8C"/>
    <w:rsid w:val="45EB1652"/>
    <w:rsid w:val="461B09E7"/>
    <w:rsid w:val="462A1496"/>
    <w:rsid w:val="46346881"/>
    <w:rsid w:val="46A50BDF"/>
    <w:rsid w:val="46A6540D"/>
    <w:rsid w:val="46C7381C"/>
    <w:rsid w:val="46CD39A2"/>
    <w:rsid w:val="46FE0A76"/>
    <w:rsid w:val="478F72D8"/>
    <w:rsid w:val="47961B09"/>
    <w:rsid w:val="47B20DCF"/>
    <w:rsid w:val="47C0635C"/>
    <w:rsid w:val="47D90785"/>
    <w:rsid w:val="48095731"/>
    <w:rsid w:val="48742E2E"/>
    <w:rsid w:val="4878412F"/>
    <w:rsid w:val="48B65F59"/>
    <w:rsid w:val="48CB3C15"/>
    <w:rsid w:val="49581B60"/>
    <w:rsid w:val="496722D2"/>
    <w:rsid w:val="49710467"/>
    <w:rsid w:val="49B02709"/>
    <w:rsid w:val="49D9445C"/>
    <w:rsid w:val="49E40B4A"/>
    <w:rsid w:val="4A011933"/>
    <w:rsid w:val="4A08416B"/>
    <w:rsid w:val="4A0E4C02"/>
    <w:rsid w:val="4A2131E6"/>
    <w:rsid w:val="4A265FBA"/>
    <w:rsid w:val="4A4549BE"/>
    <w:rsid w:val="4A561A72"/>
    <w:rsid w:val="4A9C20E2"/>
    <w:rsid w:val="4AC51B18"/>
    <w:rsid w:val="4AF75C2C"/>
    <w:rsid w:val="4B0629B4"/>
    <w:rsid w:val="4B16063F"/>
    <w:rsid w:val="4B1B5657"/>
    <w:rsid w:val="4B2163DC"/>
    <w:rsid w:val="4B5930F3"/>
    <w:rsid w:val="4B5A0823"/>
    <w:rsid w:val="4B987E0E"/>
    <w:rsid w:val="4BA3245D"/>
    <w:rsid w:val="4BA708DA"/>
    <w:rsid w:val="4BFB6116"/>
    <w:rsid w:val="4C0F4749"/>
    <w:rsid w:val="4C12528C"/>
    <w:rsid w:val="4C5E485D"/>
    <w:rsid w:val="4CA35EE8"/>
    <w:rsid w:val="4CA50717"/>
    <w:rsid w:val="4CAF7B1A"/>
    <w:rsid w:val="4CEC2397"/>
    <w:rsid w:val="4CEC6A0F"/>
    <w:rsid w:val="4D045D34"/>
    <w:rsid w:val="4D0E3A5A"/>
    <w:rsid w:val="4D2007CB"/>
    <w:rsid w:val="4D373AA3"/>
    <w:rsid w:val="4D566D5D"/>
    <w:rsid w:val="4D8D0618"/>
    <w:rsid w:val="4D900FAD"/>
    <w:rsid w:val="4DDA7841"/>
    <w:rsid w:val="4DF010DC"/>
    <w:rsid w:val="4DF92657"/>
    <w:rsid w:val="4DFC0F09"/>
    <w:rsid w:val="4E123A85"/>
    <w:rsid w:val="4E2648F1"/>
    <w:rsid w:val="4E34582E"/>
    <w:rsid w:val="4E36032C"/>
    <w:rsid w:val="4E391E79"/>
    <w:rsid w:val="4EA23C11"/>
    <w:rsid w:val="4EAD0DF3"/>
    <w:rsid w:val="4EBD3732"/>
    <w:rsid w:val="4EF4798A"/>
    <w:rsid w:val="4F3B6524"/>
    <w:rsid w:val="4F684946"/>
    <w:rsid w:val="4F697AF5"/>
    <w:rsid w:val="4F7C6CF2"/>
    <w:rsid w:val="501D0F5F"/>
    <w:rsid w:val="504B61B3"/>
    <w:rsid w:val="50585B66"/>
    <w:rsid w:val="506B2B4D"/>
    <w:rsid w:val="50BC5965"/>
    <w:rsid w:val="50C25024"/>
    <w:rsid w:val="51226276"/>
    <w:rsid w:val="515D6038"/>
    <w:rsid w:val="517E0187"/>
    <w:rsid w:val="518D48C8"/>
    <w:rsid w:val="51C5545A"/>
    <w:rsid w:val="52067E96"/>
    <w:rsid w:val="52185E3B"/>
    <w:rsid w:val="52461E17"/>
    <w:rsid w:val="527542E7"/>
    <w:rsid w:val="52862448"/>
    <w:rsid w:val="52FC2ECF"/>
    <w:rsid w:val="53027A91"/>
    <w:rsid w:val="530C7A05"/>
    <w:rsid w:val="531326CF"/>
    <w:rsid w:val="5334561A"/>
    <w:rsid w:val="533A440C"/>
    <w:rsid w:val="53BE1716"/>
    <w:rsid w:val="53C52A24"/>
    <w:rsid w:val="53C64F3E"/>
    <w:rsid w:val="53F15728"/>
    <w:rsid w:val="543A7F29"/>
    <w:rsid w:val="547942B0"/>
    <w:rsid w:val="5496685D"/>
    <w:rsid w:val="54C56CFF"/>
    <w:rsid w:val="54E82D6A"/>
    <w:rsid w:val="54F05172"/>
    <w:rsid w:val="54F87719"/>
    <w:rsid w:val="54F945E4"/>
    <w:rsid w:val="550C7979"/>
    <w:rsid w:val="552777B6"/>
    <w:rsid w:val="55352B20"/>
    <w:rsid w:val="55547B5F"/>
    <w:rsid w:val="5555169D"/>
    <w:rsid w:val="5579706C"/>
    <w:rsid w:val="559A5C1B"/>
    <w:rsid w:val="55A72630"/>
    <w:rsid w:val="563435B4"/>
    <w:rsid w:val="565E04E5"/>
    <w:rsid w:val="56621375"/>
    <w:rsid w:val="567B09C5"/>
    <w:rsid w:val="56972E33"/>
    <w:rsid w:val="56A912C5"/>
    <w:rsid w:val="56C119E2"/>
    <w:rsid w:val="56DF5D83"/>
    <w:rsid w:val="571E67CF"/>
    <w:rsid w:val="572C395D"/>
    <w:rsid w:val="572E76B5"/>
    <w:rsid w:val="57883369"/>
    <w:rsid w:val="579378DD"/>
    <w:rsid w:val="57942C4E"/>
    <w:rsid w:val="579E7A51"/>
    <w:rsid w:val="57D35AE7"/>
    <w:rsid w:val="580147C6"/>
    <w:rsid w:val="587547D2"/>
    <w:rsid w:val="58787A12"/>
    <w:rsid w:val="58885A36"/>
    <w:rsid w:val="58C316D2"/>
    <w:rsid w:val="58D44761"/>
    <w:rsid w:val="591135A2"/>
    <w:rsid w:val="596045D4"/>
    <w:rsid w:val="59920751"/>
    <w:rsid w:val="59A3352C"/>
    <w:rsid w:val="59B8627C"/>
    <w:rsid w:val="59C6633E"/>
    <w:rsid w:val="5A0B58CC"/>
    <w:rsid w:val="5A9C623F"/>
    <w:rsid w:val="5AAA24A8"/>
    <w:rsid w:val="5AFB5530"/>
    <w:rsid w:val="5AFD5BE3"/>
    <w:rsid w:val="5B565890"/>
    <w:rsid w:val="5BA94A12"/>
    <w:rsid w:val="5BF80958"/>
    <w:rsid w:val="5C60024E"/>
    <w:rsid w:val="5C64582F"/>
    <w:rsid w:val="5CAB70AB"/>
    <w:rsid w:val="5CAF1FEB"/>
    <w:rsid w:val="5D3578AE"/>
    <w:rsid w:val="5D6D2175"/>
    <w:rsid w:val="5D731A6C"/>
    <w:rsid w:val="5DA13C88"/>
    <w:rsid w:val="5DA55943"/>
    <w:rsid w:val="5DAD6008"/>
    <w:rsid w:val="5DE223E2"/>
    <w:rsid w:val="5E260389"/>
    <w:rsid w:val="5E347319"/>
    <w:rsid w:val="5E8F51E6"/>
    <w:rsid w:val="5E8F6597"/>
    <w:rsid w:val="5E912554"/>
    <w:rsid w:val="5E9A1CF9"/>
    <w:rsid w:val="5EA04EB2"/>
    <w:rsid w:val="5EDF703C"/>
    <w:rsid w:val="5F0651FE"/>
    <w:rsid w:val="5F1B21DF"/>
    <w:rsid w:val="5F314B82"/>
    <w:rsid w:val="5F421DEF"/>
    <w:rsid w:val="5F464EFA"/>
    <w:rsid w:val="5F6302C6"/>
    <w:rsid w:val="5F742D10"/>
    <w:rsid w:val="5F87465B"/>
    <w:rsid w:val="5FA746F6"/>
    <w:rsid w:val="5FC257DC"/>
    <w:rsid w:val="5FC56423"/>
    <w:rsid w:val="5FD04656"/>
    <w:rsid w:val="5FDE41F0"/>
    <w:rsid w:val="5FE87C1F"/>
    <w:rsid w:val="605B2A6C"/>
    <w:rsid w:val="607F5BB3"/>
    <w:rsid w:val="6154740E"/>
    <w:rsid w:val="615709E1"/>
    <w:rsid w:val="6177795F"/>
    <w:rsid w:val="61A32153"/>
    <w:rsid w:val="62111EDB"/>
    <w:rsid w:val="621B68FD"/>
    <w:rsid w:val="62260A44"/>
    <w:rsid w:val="622E26E6"/>
    <w:rsid w:val="62384B1F"/>
    <w:rsid w:val="62464AC7"/>
    <w:rsid w:val="627A1C5F"/>
    <w:rsid w:val="62821148"/>
    <w:rsid w:val="62CB6BA0"/>
    <w:rsid w:val="62D55800"/>
    <w:rsid w:val="62D603BD"/>
    <w:rsid w:val="62F936AE"/>
    <w:rsid w:val="62FD25B7"/>
    <w:rsid w:val="6332776B"/>
    <w:rsid w:val="63473259"/>
    <w:rsid w:val="637909B5"/>
    <w:rsid w:val="63B7381C"/>
    <w:rsid w:val="640A0B5F"/>
    <w:rsid w:val="641A4AF2"/>
    <w:rsid w:val="645D4C87"/>
    <w:rsid w:val="64771E19"/>
    <w:rsid w:val="64D133FE"/>
    <w:rsid w:val="64D13AEE"/>
    <w:rsid w:val="64DF02F9"/>
    <w:rsid w:val="64FA6F75"/>
    <w:rsid w:val="65377A3B"/>
    <w:rsid w:val="6549774F"/>
    <w:rsid w:val="65742D68"/>
    <w:rsid w:val="6585118F"/>
    <w:rsid w:val="658E0363"/>
    <w:rsid w:val="65974C05"/>
    <w:rsid w:val="65C81CC3"/>
    <w:rsid w:val="660516F0"/>
    <w:rsid w:val="661A3C27"/>
    <w:rsid w:val="663100EB"/>
    <w:rsid w:val="66750BB3"/>
    <w:rsid w:val="669D7C1A"/>
    <w:rsid w:val="66BB4116"/>
    <w:rsid w:val="66BD1594"/>
    <w:rsid w:val="66BE1197"/>
    <w:rsid w:val="66CC5FFA"/>
    <w:rsid w:val="66D50D52"/>
    <w:rsid w:val="66E36AAD"/>
    <w:rsid w:val="670A7197"/>
    <w:rsid w:val="67702B61"/>
    <w:rsid w:val="677D71DF"/>
    <w:rsid w:val="677E7B5E"/>
    <w:rsid w:val="67803887"/>
    <w:rsid w:val="678D77D7"/>
    <w:rsid w:val="679E277E"/>
    <w:rsid w:val="67B44F44"/>
    <w:rsid w:val="68292B91"/>
    <w:rsid w:val="68553A5B"/>
    <w:rsid w:val="687B25AC"/>
    <w:rsid w:val="688C026F"/>
    <w:rsid w:val="689B62C8"/>
    <w:rsid w:val="68AF607C"/>
    <w:rsid w:val="68DB0567"/>
    <w:rsid w:val="6942130B"/>
    <w:rsid w:val="69425C9C"/>
    <w:rsid w:val="697149BD"/>
    <w:rsid w:val="69E61BD8"/>
    <w:rsid w:val="6A727FBB"/>
    <w:rsid w:val="6A751650"/>
    <w:rsid w:val="6A8E2E0E"/>
    <w:rsid w:val="6ABE3031"/>
    <w:rsid w:val="6AC15E81"/>
    <w:rsid w:val="6B04111E"/>
    <w:rsid w:val="6B077D86"/>
    <w:rsid w:val="6B1041A9"/>
    <w:rsid w:val="6B301C9F"/>
    <w:rsid w:val="6B63724D"/>
    <w:rsid w:val="6B9F5597"/>
    <w:rsid w:val="6BA91D18"/>
    <w:rsid w:val="6BCE7019"/>
    <w:rsid w:val="6C260E6C"/>
    <w:rsid w:val="6C2D25CA"/>
    <w:rsid w:val="6C3C4B05"/>
    <w:rsid w:val="6C3F6CE2"/>
    <w:rsid w:val="6C602FC1"/>
    <w:rsid w:val="6C8240DF"/>
    <w:rsid w:val="6CB67B70"/>
    <w:rsid w:val="6CBD5C34"/>
    <w:rsid w:val="6CF4303C"/>
    <w:rsid w:val="6D013B12"/>
    <w:rsid w:val="6D0E6419"/>
    <w:rsid w:val="6D2B06CC"/>
    <w:rsid w:val="6D7A6C9D"/>
    <w:rsid w:val="6D967268"/>
    <w:rsid w:val="6DAB5F89"/>
    <w:rsid w:val="6DB64ED7"/>
    <w:rsid w:val="6DDB183C"/>
    <w:rsid w:val="6DE50ABF"/>
    <w:rsid w:val="6E035909"/>
    <w:rsid w:val="6E4C59D2"/>
    <w:rsid w:val="6E7E1CC0"/>
    <w:rsid w:val="6E8F1450"/>
    <w:rsid w:val="6EA81681"/>
    <w:rsid w:val="6EAF7916"/>
    <w:rsid w:val="6EF7083F"/>
    <w:rsid w:val="6EFC19C5"/>
    <w:rsid w:val="6F0F39C7"/>
    <w:rsid w:val="6F1E37EA"/>
    <w:rsid w:val="6F3B7F1C"/>
    <w:rsid w:val="6F457F40"/>
    <w:rsid w:val="6F496AA8"/>
    <w:rsid w:val="6F602C52"/>
    <w:rsid w:val="6F66092A"/>
    <w:rsid w:val="6FA024A9"/>
    <w:rsid w:val="6FAC2B7F"/>
    <w:rsid w:val="6FEF756B"/>
    <w:rsid w:val="6FF27194"/>
    <w:rsid w:val="6FF3686F"/>
    <w:rsid w:val="703F01BE"/>
    <w:rsid w:val="70877F38"/>
    <w:rsid w:val="70956507"/>
    <w:rsid w:val="70A01D36"/>
    <w:rsid w:val="70CD6D99"/>
    <w:rsid w:val="70CF1905"/>
    <w:rsid w:val="70DE1E90"/>
    <w:rsid w:val="70FF06B1"/>
    <w:rsid w:val="71166543"/>
    <w:rsid w:val="7130093E"/>
    <w:rsid w:val="714F0111"/>
    <w:rsid w:val="71C026FF"/>
    <w:rsid w:val="720655B8"/>
    <w:rsid w:val="720F3764"/>
    <w:rsid w:val="72140C1D"/>
    <w:rsid w:val="723D6478"/>
    <w:rsid w:val="724D4D4F"/>
    <w:rsid w:val="72574612"/>
    <w:rsid w:val="72646F51"/>
    <w:rsid w:val="72FB50F6"/>
    <w:rsid w:val="732D7694"/>
    <w:rsid w:val="73353058"/>
    <w:rsid w:val="734C133C"/>
    <w:rsid w:val="73740537"/>
    <w:rsid w:val="737F25A4"/>
    <w:rsid w:val="7382738A"/>
    <w:rsid w:val="73863634"/>
    <w:rsid w:val="73911C2A"/>
    <w:rsid w:val="739F0AED"/>
    <w:rsid w:val="73DB1C64"/>
    <w:rsid w:val="73EA114C"/>
    <w:rsid w:val="73EC0B1F"/>
    <w:rsid w:val="74476D02"/>
    <w:rsid w:val="748F5232"/>
    <w:rsid w:val="74DB42DE"/>
    <w:rsid w:val="74F32FEB"/>
    <w:rsid w:val="757D3633"/>
    <w:rsid w:val="759C1992"/>
    <w:rsid w:val="75BA76AB"/>
    <w:rsid w:val="75C52E99"/>
    <w:rsid w:val="762F379A"/>
    <w:rsid w:val="763B0908"/>
    <w:rsid w:val="768F52DF"/>
    <w:rsid w:val="76C35031"/>
    <w:rsid w:val="76EA54EC"/>
    <w:rsid w:val="76FC2E33"/>
    <w:rsid w:val="77534CEC"/>
    <w:rsid w:val="77783129"/>
    <w:rsid w:val="777C511F"/>
    <w:rsid w:val="779D5A14"/>
    <w:rsid w:val="77BB224F"/>
    <w:rsid w:val="77C7140A"/>
    <w:rsid w:val="77D17B96"/>
    <w:rsid w:val="77E03A5B"/>
    <w:rsid w:val="77F311D1"/>
    <w:rsid w:val="7807005B"/>
    <w:rsid w:val="782E697B"/>
    <w:rsid w:val="782F2538"/>
    <w:rsid w:val="78331F73"/>
    <w:rsid w:val="78336EEF"/>
    <w:rsid w:val="786409FB"/>
    <w:rsid w:val="786A5F98"/>
    <w:rsid w:val="788C2B31"/>
    <w:rsid w:val="78A21663"/>
    <w:rsid w:val="78D21FD8"/>
    <w:rsid w:val="78E008E2"/>
    <w:rsid w:val="78F3773D"/>
    <w:rsid w:val="78F96225"/>
    <w:rsid w:val="78FD1714"/>
    <w:rsid w:val="790B21F0"/>
    <w:rsid w:val="794753E1"/>
    <w:rsid w:val="79881B18"/>
    <w:rsid w:val="79931AB3"/>
    <w:rsid w:val="79E748D1"/>
    <w:rsid w:val="79E95947"/>
    <w:rsid w:val="7A06033C"/>
    <w:rsid w:val="7A071CB8"/>
    <w:rsid w:val="7A341BC9"/>
    <w:rsid w:val="7A433A88"/>
    <w:rsid w:val="7A6B3FE7"/>
    <w:rsid w:val="7AA42364"/>
    <w:rsid w:val="7AA5309A"/>
    <w:rsid w:val="7AAC7C41"/>
    <w:rsid w:val="7ABE79F8"/>
    <w:rsid w:val="7AF539DC"/>
    <w:rsid w:val="7AFA5DE7"/>
    <w:rsid w:val="7B2F03D4"/>
    <w:rsid w:val="7B465C8D"/>
    <w:rsid w:val="7B6A6A4B"/>
    <w:rsid w:val="7BC71F57"/>
    <w:rsid w:val="7BDA25DA"/>
    <w:rsid w:val="7C033CE2"/>
    <w:rsid w:val="7C732E3F"/>
    <w:rsid w:val="7CC00D89"/>
    <w:rsid w:val="7CE7768D"/>
    <w:rsid w:val="7D2577B7"/>
    <w:rsid w:val="7D2813AB"/>
    <w:rsid w:val="7D2F5D63"/>
    <w:rsid w:val="7D3D12AD"/>
    <w:rsid w:val="7D57746E"/>
    <w:rsid w:val="7D7260C1"/>
    <w:rsid w:val="7DA11DC5"/>
    <w:rsid w:val="7DAD549A"/>
    <w:rsid w:val="7E46038E"/>
    <w:rsid w:val="7E62683E"/>
    <w:rsid w:val="7EDB2D96"/>
    <w:rsid w:val="7EDD59EE"/>
    <w:rsid w:val="7EE8416F"/>
    <w:rsid w:val="7EFA666F"/>
    <w:rsid w:val="7F0124A2"/>
    <w:rsid w:val="7F3C0DF1"/>
    <w:rsid w:val="7F600D60"/>
    <w:rsid w:val="7F7B6BD1"/>
    <w:rsid w:val="7F882256"/>
    <w:rsid w:val="7F9F1377"/>
    <w:rsid w:val="7FE10C1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2"/>
    <w:basedOn w:val="1"/>
    <w:unhideWhenUsed/>
    <w:qFormat/>
    <w:uiPriority w:val="0"/>
    <w:pPr>
      <w:ind w:firstLine="588" w:firstLineChars="200"/>
    </w:pPr>
    <w:rPr>
      <w:rFonts w:ascii="仿宋_GB2312" w:hAnsi="Calibri" w:eastAsia="仿宋_GB2312"/>
      <w:sz w:val="32"/>
    </w:rPr>
  </w:style>
  <w:style w:type="paragraph" w:styleId="4">
    <w:name w:val="footer"/>
    <w:basedOn w:val="1"/>
    <w:link w:val="19"/>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0"/>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nhideWhenUsed/>
    <w:uiPriority w:val="0"/>
    <w:rPr>
      <w:color w:val="333333"/>
      <w:u w:val="none"/>
    </w:rPr>
  </w:style>
  <w:style w:type="character" w:styleId="17">
    <w:name w:val="HTML Code"/>
    <w:basedOn w:val="9"/>
    <w:uiPriority w:val="0"/>
    <w:rPr>
      <w:rFonts w:hint="eastAsia" w:ascii="微软雅黑" w:hAnsi="微软雅黑" w:eastAsia="微软雅黑" w:cs="微软雅黑"/>
      <w:color w:val="333333"/>
      <w:sz w:val="21"/>
      <w:szCs w:val="21"/>
    </w:rPr>
  </w:style>
  <w:style w:type="character" w:styleId="18">
    <w:name w:val="HTML Cite"/>
    <w:basedOn w:val="9"/>
    <w:uiPriority w:val="0"/>
  </w:style>
  <w:style w:type="character" w:customStyle="1" w:styleId="19">
    <w:name w:val="页脚 Char"/>
    <w:link w:val="4"/>
    <w:qFormat/>
    <w:uiPriority w:val="0"/>
    <w:rPr>
      <w:rFonts w:eastAsia="宋体"/>
      <w:sz w:val="18"/>
      <w:szCs w:val="18"/>
      <w:lang w:bidi="ar-SA"/>
    </w:rPr>
  </w:style>
  <w:style w:type="character" w:customStyle="1" w:styleId="20">
    <w:name w:val="font01"/>
    <w:basedOn w:val="9"/>
    <w:qFormat/>
    <w:uiPriority w:val="0"/>
    <w:rPr>
      <w:rFonts w:ascii="Arial" w:hAnsi="Arial" w:cs="Arial"/>
      <w:b/>
      <w:color w:val="000000"/>
      <w:sz w:val="24"/>
      <w:szCs w:val="24"/>
      <w:u w:val="none"/>
    </w:rPr>
  </w:style>
  <w:style w:type="character" w:customStyle="1" w:styleId="21">
    <w:name w:val="font31"/>
    <w:basedOn w:val="9"/>
    <w:qFormat/>
    <w:uiPriority w:val="0"/>
    <w:rPr>
      <w:rFonts w:hint="eastAsia" w:ascii="宋体" w:hAnsi="宋体" w:eastAsia="宋体" w:cs="宋体"/>
      <w:b/>
      <w:color w:val="000000"/>
      <w:sz w:val="24"/>
      <w:szCs w:val="24"/>
      <w:u w:val="none"/>
    </w:rPr>
  </w:style>
  <w:style w:type="character" w:customStyle="1" w:styleId="22">
    <w:name w:val="标题 3 Char Char"/>
    <w:uiPriority w:val="0"/>
    <w:rPr>
      <w:rFonts w:eastAsia="楷体_GB2312"/>
      <w:b/>
      <w:kern w:val="2"/>
      <w:sz w:val="32"/>
      <w:szCs w:val="24"/>
      <w:lang w:val="en-US" w:eastAsia="zh-CN" w:bidi="ar-SA"/>
    </w:rPr>
  </w:style>
  <w:style w:type="paragraph" w:customStyle="1" w:styleId="23">
    <w:name w:val="Char"/>
    <w:basedOn w:val="1"/>
    <w:qFormat/>
    <w:uiPriority w:val="0"/>
    <w:pPr>
      <w:autoSpaceDE w:val="0"/>
      <w:autoSpaceDN w:val="0"/>
      <w:adjustRightInd w:val="0"/>
    </w:pPr>
    <w:rPr>
      <w:rFonts w:ascii="宋体" w:cs="宋体"/>
      <w:kern w:val="0"/>
      <w:sz w:val="20"/>
      <w:szCs w:val="20"/>
      <w:lang w:val="zh-CN"/>
    </w:rPr>
  </w:style>
  <w:style w:type="paragraph" w:customStyle="1" w:styleId="24">
    <w:name w:val="Char1"/>
    <w:basedOn w:val="1"/>
    <w:qFormat/>
    <w:uiPriority w:val="0"/>
    <w:rPr>
      <w:rFonts w:ascii="仿宋_GB2312" w:eastAsia="仿宋_GB2312"/>
      <w:sz w:val="32"/>
    </w:rPr>
  </w:style>
  <w:style w:type="paragraph" w:customStyle="1" w:styleId="25">
    <w:name w:val="Char Char Char Char Char Char Char Char Char Char Char Char1 Char Char Char Char"/>
    <w:basedOn w:val="1"/>
    <w:qFormat/>
    <w:uiPriority w:val="0"/>
    <w:pPr>
      <w:numPr>
        <w:ilvl w:val="0"/>
        <w:numId w:val="1"/>
      </w:numPr>
      <w:tabs>
        <w:tab w:val="left" w:pos="720"/>
      </w:tabs>
    </w:pPr>
    <w:rPr>
      <w:szCs w:val="20"/>
    </w:rPr>
  </w:style>
  <w:style w:type="paragraph" w:styleId="26">
    <w:name w:val="List Paragraph"/>
    <w:basedOn w:val="1"/>
    <w:qFormat/>
    <w:uiPriority w:val="99"/>
    <w:pPr>
      <w:ind w:firstLine="420" w:firstLineChars="200"/>
    </w:pPr>
    <w:rPr>
      <w:rFonts w:ascii="Calibri" w:hAnsi="Calibri"/>
      <w:szCs w:val="22"/>
    </w:rPr>
  </w:style>
  <w:style w:type="character" w:customStyle="1" w:styleId="27">
    <w:name w:val="hover23"/>
    <w:basedOn w:val="9"/>
    <w:qFormat/>
    <w:uiPriority w:val="0"/>
    <w:rPr>
      <w:shd w:val="clear" w:color="auto" w:fill="0069AE"/>
    </w:rPr>
  </w:style>
  <w:style w:type="character" w:customStyle="1" w:styleId="28">
    <w:name w:val="hover24"/>
    <w:basedOn w:val="9"/>
    <w:qFormat/>
    <w:uiPriority w:val="0"/>
    <w:rPr>
      <w:color w:val="000000"/>
      <w:shd w:val="clear" w:color="auto" w:fill="FFFFFF"/>
    </w:rPr>
  </w:style>
  <w:style w:type="character" w:customStyle="1" w:styleId="29">
    <w:name w:val="after"/>
    <w:basedOn w:val="9"/>
    <w:uiPriority w:val="0"/>
    <w:rPr>
      <w:shd w:val="clear" w:color="auto" w:fill="FFFFFF"/>
    </w:rPr>
  </w:style>
  <w:style w:type="character" w:customStyle="1" w:styleId="30">
    <w:name w:val="cgreen"/>
    <w:basedOn w:val="9"/>
    <w:uiPriority w:val="0"/>
    <w:rPr>
      <w:color w:val="0A9100"/>
    </w:rPr>
  </w:style>
  <w:style w:type="character" w:customStyle="1" w:styleId="31">
    <w:name w:val="cgreen1"/>
    <w:basedOn w:val="9"/>
    <w:qFormat/>
    <w:uiPriority w:val="0"/>
    <w:rPr>
      <w:color w:val="0A9100"/>
    </w:rPr>
  </w:style>
  <w:style w:type="character" w:customStyle="1" w:styleId="32">
    <w:name w:val="text"/>
    <w:basedOn w:val="9"/>
    <w:qFormat/>
    <w:uiPriority w:val="0"/>
    <w:rPr>
      <w:color w:val="666666"/>
    </w:rPr>
  </w:style>
  <w:style w:type="character" w:customStyle="1" w:styleId="33">
    <w:name w:val="wx-space"/>
    <w:basedOn w:val="9"/>
    <w:uiPriority w:val="0"/>
  </w:style>
  <w:style w:type="character" w:customStyle="1" w:styleId="34">
    <w:name w:val="last"/>
    <w:basedOn w:val="9"/>
    <w:qFormat/>
    <w:uiPriority w:val="0"/>
  </w:style>
  <w:style w:type="character" w:customStyle="1" w:styleId="35">
    <w:name w:val="bsharetext"/>
    <w:basedOn w:val="9"/>
    <w:uiPriority w:val="0"/>
  </w:style>
  <w:style w:type="character" w:customStyle="1" w:styleId="36">
    <w:name w:val="hover21"/>
    <w:basedOn w:val="9"/>
    <w:qFormat/>
    <w:uiPriority w:val="0"/>
    <w:rPr>
      <w:shd w:val="clear" w:color="auto" w:fill="0069AE"/>
    </w:rPr>
  </w:style>
  <w:style w:type="character" w:customStyle="1" w:styleId="37">
    <w:name w:val="hover22"/>
    <w:basedOn w:val="9"/>
    <w:qFormat/>
    <w:uiPriority w:val="0"/>
    <w:rPr>
      <w:color w:val="000000"/>
      <w:shd w:val="clear" w:color="auto" w:fill="FFFFFF"/>
    </w:rPr>
  </w:style>
  <w:style w:type="character" w:customStyle="1" w:styleId="38">
    <w:name w:val="wx-space1"/>
    <w:basedOn w:val="9"/>
    <w:uiPriority w:val="0"/>
  </w:style>
  <w:style w:type="character" w:customStyle="1" w:styleId="39">
    <w:name w:val="next"/>
    <w:basedOn w:val="9"/>
    <w:qFormat/>
    <w:uiPriority w:val="0"/>
  </w:style>
  <w:style w:type="character" w:customStyle="1" w:styleId="40">
    <w:name w:val="on"/>
    <w:basedOn w:val="9"/>
    <w:qFormat/>
    <w:uiPriority w:val="0"/>
  </w:style>
  <w:style w:type="character" w:customStyle="1" w:styleId="41">
    <w:name w:val="on1"/>
    <w:basedOn w:val="9"/>
    <w:uiPriority w:val="0"/>
    <w:rPr>
      <w:shd w:val="clear" w:color="auto" w:fill="FCFCFC"/>
    </w:rPr>
  </w:style>
  <w:style w:type="character" w:customStyle="1" w:styleId="42">
    <w:name w:val="focus-area"/>
    <w:basedOn w:val="9"/>
    <w:qFormat/>
    <w:uiPriority w:val="0"/>
    <w:rPr>
      <w:rFonts w:ascii="微软雅黑" w:hAnsi="微软雅黑" w:eastAsia="微软雅黑" w:cs="微软雅黑"/>
      <w:color w:val="FFFFFF"/>
      <w:sz w:val="25"/>
      <w:szCs w:val="25"/>
    </w:rPr>
  </w:style>
  <w:style w:type="character" w:customStyle="1" w:styleId="43">
    <w:name w:val="protection-tab-icon"/>
    <w:basedOn w:val="9"/>
    <w:qFormat/>
    <w:uiPriority w:val="0"/>
  </w:style>
  <w:style w:type="character" w:customStyle="1" w:styleId="44">
    <w:name w:val="on3"/>
    <w:basedOn w:val="9"/>
    <w:qFormat/>
    <w:uiPriority w:val="0"/>
    <w:rPr>
      <w:shd w:val="clear" w:color="auto" w:fill="FCFCFC"/>
    </w:rPr>
  </w:style>
  <w:style w:type="character" w:customStyle="1" w:styleId="45">
    <w:name w:val="on4"/>
    <w:basedOn w:val="9"/>
    <w:qFormat/>
    <w:uiPriority w:val="0"/>
  </w:style>
  <w:style w:type="character" w:customStyle="1" w:styleId="46">
    <w:name w:val="hover20"/>
    <w:basedOn w:val="9"/>
    <w:qFormat/>
    <w:uiPriority w:val="0"/>
  </w:style>
  <w:style w:type="character" w:customStyle="1" w:styleId="47">
    <w:name w:val="next3"/>
    <w:basedOn w:val="9"/>
    <w:qFormat/>
    <w:uiPriority w:val="0"/>
  </w:style>
  <w:style w:type="character" w:customStyle="1" w:styleId="48">
    <w:name w:val="next4"/>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21</Pages>
  <Words>1644</Words>
  <Characters>9371</Characters>
  <Lines>78</Lines>
  <Paragraphs>21</Paragraphs>
  <TotalTime>6</TotalTime>
  <ScaleCrop>false</ScaleCrop>
  <LinksUpToDate>false</LinksUpToDate>
  <CharactersWithSpaces>10994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2021-07-27T09:23:00Z</dcterms:created>
  <dc:creator>吴川 10.105.113.190</dc:creator>
  <cp:lastModifiedBy>Administrator</cp:lastModifiedBy>
  <cp:lastPrinted>2021-06-23T01:10:00Z</cp:lastPrinted>
  <dcterms:modified xsi:type="dcterms:W3CDTF">2021-07-28T01:28:06Z</dcterms:modified>
  <dc:title>岳阳市财政局文件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5E035BF4FBD94CEFB4BF4BA94B604B1E</vt:lpwstr>
  </property>
</Properties>
</file>