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</w:t>
      </w:r>
      <w:r>
        <w:rPr>
          <w:rFonts w:hint="eastAsia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eastAsia="黑体" w:cs="黑体"/>
          <w:bCs/>
          <w:sz w:val="32"/>
          <w:szCs w:val="32"/>
        </w:rPr>
        <w:t>-1</w:t>
      </w: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pacing w:val="-20"/>
          <w:sz w:val="46"/>
          <w:szCs w:val="46"/>
        </w:rPr>
      </w:pPr>
      <w:r>
        <w:rPr>
          <w:rFonts w:hint="eastAsia" w:eastAsia="方正小标宋简体"/>
          <w:bCs/>
          <w:spacing w:val="-20"/>
          <w:sz w:val="46"/>
          <w:szCs w:val="46"/>
        </w:rPr>
        <w:t>岳阳市云溪区</w:t>
      </w:r>
      <w:r>
        <w:rPr>
          <w:rFonts w:hint="eastAsia" w:eastAsia="方正小标宋简体"/>
          <w:bCs/>
          <w:spacing w:val="-20"/>
          <w:sz w:val="46"/>
          <w:szCs w:val="46"/>
          <w:lang w:val="en-US" w:eastAsia="zh-CN"/>
        </w:rPr>
        <w:t>2020</w:t>
      </w:r>
      <w:r>
        <w:rPr>
          <w:rFonts w:hint="eastAsia" w:eastAsia="方正小标宋简体"/>
          <w:bCs/>
          <w:spacing w:val="-20"/>
          <w:sz w:val="46"/>
          <w:szCs w:val="46"/>
        </w:rPr>
        <w:t>年度部门（单位）整体支出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部门(单位)名称：</w:t>
      </w:r>
      <w:r>
        <w:rPr>
          <w:rFonts w:hint="eastAsia" w:eastAsia="仿宋_GB2312"/>
          <w:sz w:val="32"/>
          <w:u w:val="single"/>
        </w:rPr>
        <w:t xml:space="preserve">  岳阳市云溪区接待</w:t>
      </w:r>
      <w:r>
        <w:rPr>
          <w:rFonts w:hint="eastAsia" w:eastAsia="仿宋_GB2312"/>
          <w:sz w:val="32"/>
          <w:u w:val="single"/>
          <w:lang w:eastAsia="zh-CN"/>
        </w:rPr>
        <w:t>服务中心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beforeLines="50" w:line="348" w:lineRule="auto"/>
        <w:ind w:firstLine="476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预  算  编  码：</w:t>
      </w:r>
      <w:r>
        <w:rPr>
          <w:rFonts w:hint="eastAsia" w:eastAsia="仿宋_GB2312"/>
          <w:sz w:val="32"/>
          <w:u w:val="single"/>
        </w:rPr>
        <w:t xml:space="preserve">  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line="348" w:lineRule="auto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ind w:firstLine="2188" w:firstLineChars="69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</w:t>
      </w:r>
      <w:r>
        <w:rPr>
          <w:rFonts w:hint="eastAsia" w:eastAsia="仿宋_GB2312"/>
          <w:sz w:val="32"/>
          <w:lang w:val="en-US" w:eastAsia="zh-CN"/>
        </w:rPr>
        <w:t>21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25</w:t>
      </w:r>
      <w:r>
        <w:rPr>
          <w:rFonts w:hint="eastAsia" w:eastAsia="仿宋_GB2312"/>
          <w:sz w:val="32"/>
        </w:rPr>
        <w:t>日</w:t>
      </w:r>
    </w:p>
    <w:p>
      <w:pPr>
        <w:autoSpaceDN w:val="0"/>
        <w:ind w:firstLine="2378" w:firstLineChars="750"/>
        <w:textAlignment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</w:rPr>
        <w:t>岳阳市云溪区财政</w:t>
      </w:r>
      <w:r>
        <w:rPr>
          <w:rFonts w:hint="eastAsia" w:eastAsia="仿宋_GB2312"/>
          <w:sz w:val="32"/>
          <w:szCs w:val="32"/>
        </w:rPr>
        <w:t>局（制）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footerReference r:id="rId3" w:type="even"/>
          <w:pgSz w:w="11906" w:h="16838"/>
          <w:pgMar w:top="1701" w:right="1417" w:bottom="1701" w:left="1417" w:header="851" w:footer="992" w:gutter="0"/>
          <w:pgNumType w:fmt="numberInDash" w:start="8"/>
          <w:cols w:space="720" w:num="1"/>
          <w:docGrid w:type="linesAndChars" w:linePitch="602" w:charSpace="-782"/>
        </w:sectPr>
      </w:pPr>
    </w:p>
    <w:tbl>
      <w:tblPr>
        <w:tblStyle w:val="5"/>
        <w:tblW w:w="10380" w:type="dxa"/>
        <w:tblInd w:w="-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12"/>
        <w:gridCol w:w="55"/>
        <w:gridCol w:w="54"/>
        <w:gridCol w:w="527"/>
        <w:gridCol w:w="740"/>
        <w:gridCol w:w="154"/>
        <w:gridCol w:w="1034"/>
        <w:gridCol w:w="147"/>
        <w:gridCol w:w="417"/>
        <w:gridCol w:w="1035"/>
        <w:gridCol w:w="278"/>
        <w:gridCol w:w="24"/>
        <w:gridCol w:w="1317"/>
        <w:gridCol w:w="59"/>
        <w:gridCol w:w="427"/>
        <w:gridCol w:w="976"/>
        <w:gridCol w:w="344"/>
        <w:gridCol w:w="247"/>
        <w:gridCol w:w="454"/>
        <w:gridCol w:w="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0380" w:type="dxa"/>
            <w:gridSpan w:val="2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805" w:type="dxa"/>
            <w:gridSpan w:val="7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杨莉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13975072813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805" w:type="dxa"/>
            <w:gridSpan w:val="7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3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332" w:type="dxa"/>
            <w:gridSpan w:val="1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区委、区人大、区政府、区政协属于接待范围的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公务接待工作。承办或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做好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区委、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区人大、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区政府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、区政协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及有关部门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召开或组织的重要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会议、重大活动的接待服务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、会务等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承担或配合做好云溪历史、文化和经济社会发展成果的对外宣传讲解工作。承办区委、区政府领导及党政代表团外出参观、学习、考察等重大活动的联络服务等工作。承担管理区本级党政机关国内公务接待工作，指导下级党政机关国内公务接待工作，综合协调全区公务接待工作。承办公务接待业务技能培训、竞赛、考察学习、经验交流等活动。完成区委、区政府交办的其他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15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年度主要工作内容</w:t>
            </w:r>
          </w:p>
        </w:tc>
        <w:tc>
          <w:tcPr>
            <w:tcW w:w="8332" w:type="dxa"/>
            <w:gridSpan w:val="1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完善接待管理办法，严格控制接待范围，无超标准接待行为发生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;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做好食堂日常管理，控制成本，提高接待服务质量和水平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;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3.高标准完成省委巡视后勤服务保障工作。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94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8332" w:type="dxa"/>
            <w:gridSpan w:val="1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年度总体运行平稳，接待服务质量和水平进一步提升，得到了来区客人的一致好评。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做好了省委巡视后勤服务保障工作，为巡视组工作开展提供便利条件，得到省委巡视组领导的一致好评和区领导的一致肯定。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0380" w:type="dxa"/>
            <w:gridSpan w:val="2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0380" w:type="dxa"/>
            <w:gridSpan w:val="2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467" w:type="dxa"/>
            <w:gridSpan w:val="2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321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59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205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</w:trPr>
        <w:tc>
          <w:tcPr>
            <w:tcW w:w="1467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3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156.59</w:t>
            </w:r>
          </w:p>
        </w:tc>
        <w:tc>
          <w:tcPr>
            <w:tcW w:w="11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23.05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133.54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3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3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3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1" w:hRule="atLeast"/>
        </w:trPr>
        <w:tc>
          <w:tcPr>
            <w:tcW w:w="10380" w:type="dxa"/>
            <w:gridSpan w:val="2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621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</w:trPr>
        <w:tc>
          <w:tcPr>
            <w:tcW w:w="15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5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3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83.16</w:t>
            </w: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44.21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36.39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7.82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38.95</w:t>
            </w:r>
          </w:p>
        </w:tc>
        <w:tc>
          <w:tcPr>
            <w:tcW w:w="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50.38</w:t>
            </w:r>
          </w:p>
        </w:tc>
        <w:tc>
          <w:tcPr>
            <w:tcW w:w="679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73.43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83.16</w:t>
            </w: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44.21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36.39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7.82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38.95</w:t>
            </w:r>
          </w:p>
        </w:tc>
        <w:tc>
          <w:tcPr>
            <w:tcW w:w="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50.38</w:t>
            </w:r>
          </w:p>
        </w:tc>
        <w:tc>
          <w:tcPr>
            <w:tcW w:w="679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73.43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59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</w:trPr>
        <w:tc>
          <w:tcPr>
            <w:tcW w:w="15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4" w:hRule="atLeast"/>
        </w:trPr>
        <w:tc>
          <w:tcPr>
            <w:tcW w:w="1521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212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80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152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12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138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7.45</w:t>
            </w:r>
          </w:p>
        </w:tc>
        <w:tc>
          <w:tcPr>
            <w:tcW w:w="30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7.45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7.45</w:t>
            </w:r>
          </w:p>
        </w:tc>
        <w:tc>
          <w:tcPr>
            <w:tcW w:w="30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7.45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4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2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2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1" w:hRule="atLeast"/>
        </w:trPr>
        <w:tc>
          <w:tcPr>
            <w:tcW w:w="10380" w:type="dxa"/>
            <w:gridSpan w:val="2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412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441" w:type="dxa"/>
            <w:gridSpan w:val="1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27" w:type="dxa"/>
            <w:gridSpan w:val="9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7" w:hRule="atLeast"/>
        </w:trPr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1" w:type="dxa"/>
            <w:gridSpan w:val="1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完善接待管理办法，严格控制接待范围，无超标准接待行为发生。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做好食堂日常管理，控制成本，提供接待服务质量和水平。</w:t>
            </w:r>
          </w:p>
        </w:tc>
        <w:tc>
          <w:tcPr>
            <w:tcW w:w="4527" w:type="dxa"/>
            <w:gridSpan w:val="9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全年接待未出现超范围、超标准接待，接待水平和服务质量有了明显提升。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412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3128" w:type="dxa"/>
            <w:gridSpan w:val="8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09" w:hRule="atLeast"/>
        </w:trPr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gridSpan w:val="5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（部门工作实绩，包含上级部门和区委区政府布置的重点工作、实事任务等，根据部门实际进行调整细化）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进一步提升接待服务质量和水平，来区客人评价进一步提升。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全年未出现因接待服务不到位，造成工作不利的方面。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3" w:hRule="atLeast"/>
        </w:trPr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gridSpan w:val="5"/>
            <w:vMerge w:val="continue"/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来客接待达到“零差错”。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全年未出现一起接待失误造成来客不满意的现象。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9" w:hRule="atLeast"/>
        </w:trPr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gridSpan w:val="5"/>
            <w:vMerge w:val="continue"/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在规定时限内做好准备和接待工作。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全年来区客人接待都是按规定时间搞好接待工作，没有出现因时间问题出现接待失误。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9" w:hRule="atLeast"/>
        </w:trPr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gridSpan w:val="5"/>
            <w:vMerge w:val="continue"/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接待经费控制在预算内。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全年接待经费严控在预算内，且较往年有减少。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" w:hRule="atLeast"/>
        </w:trPr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gridSpan w:val="5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加强作风监督，树好政府形象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来客实现定点接待，便于作风监督，减少群众误解，增加党委、政府的群众公信度。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5" w:hRule="atLeast"/>
        </w:trPr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gridSpan w:val="5"/>
            <w:vMerge w:val="continue"/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接待费用较上年度进一步减少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全年接待费用较上年度减少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0" w:hRule="atLeast"/>
        </w:trPr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gridSpan w:val="5"/>
            <w:vMerge w:val="continue"/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13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来客接待满意度达98%以上。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经来客反馈满意度达98以上。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</w:trPr>
        <w:tc>
          <w:tcPr>
            <w:tcW w:w="2942" w:type="dxa"/>
            <w:gridSpan w:val="6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7438" w:type="dxa"/>
            <w:gridSpan w:val="1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2942" w:type="dxa"/>
            <w:gridSpan w:val="6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7438" w:type="dxa"/>
            <w:gridSpan w:val="1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4" w:hRule="atLeast"/>
        </w:trPr>
        <w:tc>
          <w:tcPr>
            <w:tcW w:w="10380" w:type="dxa"/>
            <w:gridSpan w:val="2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805" w:type="dxa"/>
            <w:gridSpan w:val="7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9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姚东升</w:t>
            </w:r>
          </w:p>
        </w:tc>
        <w:tc>
          <w:tcPr>
            <w:tcW w:w="3805" w:type="dxa"/>
            <w:gridSpan w:val="7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主任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云溪区接待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服务中心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莉</w:t>
            </w:r>
          </w:p>
        </w:tc>
        <w:tc>
          <w:tcPr>
            <w:tcW w:w="3805" w:type="dxa"/>
            <w:gridSpan w:val="7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副主任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云溪区接待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服务中心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勇</w:t>
            </w:r>
          </w:p>
        </w:tc>
        <w:tc>
          <w:tcPr>
            <w:tcW w:w="3805" w:type="dxa"/>
            <w:gridSpan w:val="7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副主任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云溪区接待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服务中心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</w:trPr>
        <w:tc>
          <w:tcPr>
            <w:tcW w:w="2048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05" w:type="dxa"/>
            <w:gridSpan w:val="7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8" w:hRule="atLeast"/>
        </w:trPr>
        <w:tc>
          <w:tcPr>
            <w:tcW w:w="10380" w:type="dxa"/>
            <w:gridSpan w:val="2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50" w:hRule="atLeast"/>
        </w:trPr>
        <w:tc>
          <w:tcPr>
            <w:tcW w:w="10380" w:type="dxa"/>
            <w:gridSpan w:val="2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61" w:hRule="atLeast"/>
        </w:trPr>
        <w:tc>
          <w:tcPr>
            <w:tcW w:w="10380" w:type="dxa"/>
            <w:gridSpan w:val="2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年 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填报人（签名）：杨莉                             联系电话：13975072813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10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岳阳市云溪区接待服务中心是区委直属公益类正科级事业单位。其主要职责是：承办区委、区人大、区政府、区政协属于接待范围的公务接待工作。承办或配合做好区委、区人大、区政府、区政协及有关部门召开或组织的重要会议、重大活动的接待服务、会务等工作。承担或配合做好云溪历史、文化和经济社会发展成果的对外宣传讲解工作。承办区委、区政府领导及党政代表团外出参观、学习、考察等重大活动的联络服务等工作。承担管理区本级党政机关国内公务接待工作，指导下级党政机关国内公务接待工作，综合协调全区公务接待工作。承办公务接待业务技能培训、竞赛、考察学习、经验交流等活动。完成区委、区政府交办的其他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（二）部门（单位）整体支出规模、使用方向和主要内容、涉及范围等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年，岳阳市云溪区接待办公室总支出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83.16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万元，其中基本支出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44.21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万元（人员支出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36.39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万元，公用支出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7.82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万元），项目支出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38.95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万元。主要用于接待区委、区人大、区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政府、区政协属于接待范围的来区客人的用餐、住宿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和相关活动、会议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（一）基本支出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基本支出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44.21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万元，其中人员支出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36.39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万元，公用支出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7.82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（二）专项支出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1、接待资金年初区财政纳入预算，根据来区属于接待范围的接待情况来核减。20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年，全年公务接待费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38.95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2、接待专项资金全部用于接待范围内的来区客人、会议或活动。来客实行申报制度，由有关单位填写申报表，报相关领导审核后支出。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3、接待专项资金严格按照审批程序把关，按要求和程序报账，管理规范。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（一）专项组织情况分析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（二）专项管理情况分析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四、部门（单位）整体支出绩效情况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岳阳市云溪区接待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服务中心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年整体支出较201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年有所下降，主要是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受新冠疫情影响，接待相对减少；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严格按照中央“八项规定”省市“九项规定”等有关文件精神，严格申报制度，严控接待范围，严禁超标准接待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，进一步规范了接待程序，接待水平得到较大提升，在全区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树立了良好的口碑和形象，为助力建设风清气正的新云溪贡献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应有的力量。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五、存在的主要问题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</w:tc>
      </w:tr>
    </w:tbl>
    <w:p>
      <w:pPr>
        <w:ind w:firstLine="420"/>
      </w:pPr>
    </w:p>
    <w:sectPr>
      <w:pgSz w:w="11906" w:h="16838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1E2"/>
    <w:rsid w:val="00067BBC"/>
    <w:rsid w:val="00073F93"/>
    <w:rsid w:val="000D278C"/>
    <w:rsid w:val="00150691"/>
    <w:rsid w:val="002D519B"/>
    <w:rsid w:val="00375CBD"/>
    <w:rsid w:val="00493A9E"/>
    <w:rsid w:val="0060674D"/>
    <w:rsid w:val="00676482"/>
    <w:rsid w:val="0072741B"/>
    <w:rsid w:val="007601E2"/>
    <w:rsid w:val="007E7405"/>
    <w:rsid w:val="00A05116"/>
    <w:rsid w:val="00A72225"/>
    <w:rsid w:val="00A728CF"/>
    <w:rsid w:val="00B30B21"/>
    <w:rsid w:val="00B8632F"/>
    <w:rsid w:val="00BE63BB"/>
    <w:rsid w:val="00C717A0"/>
    <w:rsid w:val="00C9316D"/>
    <w:rsid w:val="00CA6AA7"/>
    <w:rsid w:val="00D05108"/>
    <w:rsid w:val="00E31726"/>
    <w:rsid w:val="00E369B3"/>
    <w:rsid w:val="00EC3D33"/>
    <w:rsid w:val="07A92551"/>
    <w:rsid w:val="0E661742"/>
    <w:rsid w:val="0F3058A0"/>
    <w:rsid w:val="11D9593D"/>
    <w:rsid w:val="12FF3594"/>
    <w:rsid w:val="14715F61"/>
    <w:rsid w:val="17723B13"/>
    <w:rsid w:val="1D6C707B"/>
    <w:rsid w:val="29D37CF9"/>
    <w:rsid w:val="3028023B"/>
    <w:rsid w:val="346A2C7D"/>
    <w:rsid w:val="3DFF782E"/>
    <w:rsid w:val="3EBE17B3"/>
    <w:rsid w:val="3F265841"/>
    <w:rsid w:val="576261A5"/>
    <w:rsid w:val="57A11C7A"/>
    <w:rsid w:val="58BE5D13"/>
    <w:rsid w:val="5F727FE9"/>
    <w:rsid w:val="619E48CB"/>
    <w:rsid w:val="62EB2020"/>
    <w:rsid w:val="7486434B"/>
    <w:rsid w:val="780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黑体"/>
      <w:snapToGrid w:val="0"/>
      <w:kern w:val="0"/>
      <w:sz w:val="18"/>
      <w:szCs w:val="18"/>
    </w:rPr>
  </w:style>
  <w:style w:type="character" w:customStyle="1" w:styleId="9">
    <w:name w:val="页眉 Char"/>
    <w:basedOn w:val="6"/>
    <w:link w:val="3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454</Words>
  <Characters>2593</Characters>
  <Lines>21</Lines>
  <Paragraphs>6</Paragraphs>
  <TotalTime>0</TotalTime>
  <ScaleCrop>false</ScaleCrop>
  <LinksUpToDate>false</LinksUpToDate>
  <CharactersWithSpaces>3041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2019-07-10T01:03:00Z</dcterms:created>
  <dc:creator>Administrator</dc:creator>
  <cp:lastModifiedBy>茉莉</cp:lastModifiedBy>
  <cp:lastPrinted>2021-06-30T02:00:37Z</cp:lastPrinted>
  <dcterms:modified xsi:type="dcterms:W3CDTF">2021-06-30T09:07:20Z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DCA406D9BA2F467A8CB85DDD2B309332</vt:lpwstr>
  </property>
</Properties>
</file>