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8" w:lineRule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附件3-2</w:t>
      </w:r>
    </w:p>
    <w:p>
      <w:pPr>
        <w:spacing w:line="348" w:lineRule="auto"/>
        <w:rPr>
          <w:rFonts w:hint="eastAsia" w:eastAsia="黑体" w:cs="黑体"/>
          <w:bCs/>
          <w:sz w:val="32"/>
          <w:szCs w:val="32"/>
        </w:rPr>
      </w:pPr>
    </w:p>
    <w:p>
      <w:pPr>
        <w:spacing w:before="156" w:beforeLines="50" w:line="348" w:lineRule="auto"/>
        <w:jc w:val="center"/>
        <w:rPr>
          <w:rFonts w:hint="eastAsia"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岳阳市云溪区财政支出绩效评价自评报告</w:t>
      </w:r>
    </w:p>
    <w:p>
      <w:pPr>
        <w:rPr>
          <w:rFonts w:hint="eastAsia" w:eastAsia="仿宋_GB2312"/>
          <w:b/>
          <w:sz w:val="32"/>
        </w:rPr>
      </w:pPr>
    </w:p>
    <w:p>
      <w:pPr>
        <w:rPr>
          <w:rFonts w:hint="eastAsia" w:eastAsia="仿宋_GB2312"/>
          <w:b/>
          <w:sz w:val="32"/>
        </w:rPr>
      </w:pPr>
    </w:p>
    <w:p>
      <w:pPr>
        <w:spacing w:line="760" w:lineRule="exact"/>
        <w:ind w:firstLine="470" w:firstLineChars="147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评价类型：项目实施过程评价□   项目完成结果评价□</w:t>
      </w:r>
    </w:p>
    <w:p>
      <w:pPr>
        <w:spacing w:before="156" w:beforeLines="50" w:line="760" w:lineRule="exact"/>
        <w:ind w:firstLine="480" w:firstLineChars="150"/>
        <w:rPr>
          <w:rFonts w:hint="eastAsia"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项目名称：</w:t>
      </w:r>
      <w:r>
        <w:rPr>
          <w:rFonts w:hint="eastAsia" w:eastAsia="仿宋_GB2312"/>
          <w:sz w:val="32"/>
          <w:u w:val="single"/>
        </w:rPr>
        <w:t xml:space="preserve">   区级粮食储备补贴                                   </w:t>
      </w:r>
    </w:p>
    <w:p>
      <w:pPr>
        <w:spacing w:before="156" w:beforeLines="50" w:line="760" w:lineRule="exact"/>
        <w:ind w:firstLine="480" w:firstLineChars="15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项目单位：</w:t>
      </w:r>
      <w:r>
        <w:rPr>
          <w:rFonts w:hint="eastAsia" w:eastAsia="仿宋_GB2312"/>
          <w:sz w:val="32"/>
          <w:u w:val="single"/>
        </w:rPr>
        <w:t xml:space="preserve">      岳阳市惠鑫米业有限公司                                 </w:t>
      </w:r>
    </w:p>
    <w:p>
      <w:pPr>
        <w:spacing w:before="156" w:beforeLines="50" w:line="760" w:lineRule="exact"/>
        <w:ind w:firstLine="480" w:firstLineChars="150"/>
        <w:rPr>
          <w:rFonts w:hint="eastAsia" w:eastAsia="仿宋_GB2312"/>
          <w:sz w:val="32"/>
          <w:u w:val="single"/>
        </w:rPr>
      </w:pPr>
      <w:r>
        <w:rPr>
          <w:rFonts w:hint="eastAsia" w:eastAsia="仿宋_GB2312"/>
          <w:sz w:val="32"/>
        </w:rPr>
        <w:t>主管部门：</w:t>
      </w:r>
      <w:r>
        <w:rPr>
          <w:rFonts w:hint="eastAsia" w:eastAsia="仿宋_GB2312"/>
          <w:sz w:val="32"/>
          <w:u w:val="single"/>
        </w:rPr>
        <w:t xml:space="preserve">    云溪区农业</w:t>
      </w:r>
      <w:r>
        <w:rPr>
          <w:rFonts w:hint="eastAsia" w:eastAsia="仿宋_GB2312"/>
          <w:sz w:val="32"/>
          <w:u w:val="single"/>
          <w:lang w:eastAsia="zh-CN"/>
        </w:rPr>
        <w:t>农村</w:t>
      </w:r>
      <w:r>
        <w:rPr>
          <w:rFonts w:hint="eastAsia" w:eastAsia="仿宋_GB2312"/>
          <w:sz w:val="32"/>
          <w:u w:val="single"/>
        </w:rPr>
        <w:t xml:space="preserve">局                                   </w:t>
      </w:r>
    </w:p>
    <w:p>
      <w:pPr>
        <w:spacing w:before="156" w:beforeLines="50" w:line="760" w:lineRule="exact"/>
        <w:ind w:firstLine="480" w:firstLineChars="15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评价方式：</w:t>
      </w:r>
      <w:r>
        <w:rPr>
          <w:rFonts w:hint="eastAsia" w:eastAsia="仿宋_GB2312"/>
          <w:sz w:val="28"/>
          <w:szCs w:val="28"/>
        </w:rPr>
        <w:t>部门（单位）绩效自评</w:t>
      </w:r>
    </w:p>
    <w:p>
      <w:pPr>
        <w:spacing w:before="156" w:beforeLines="50" w:line="760" w:lineRule="exact"/>
        <w:ind w:firstLine="480" w:firstLineChars="15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32"/>
          <w:szCs w:val="32"/>
        </w:rPr>
        <w:t>评价机构：</w:t>
      </w:r>
      <w:r>
        <w:rPr>
          <w:rFonts w:hint="eastAsia" w:eastAsia="仿宋_GB2312"/>
          <w:sz w:val="28"/>
          <w:szCs w:val="28"/>
        </w:rPr>
        <w:t xml:space="preserve">部门（单位）评价组   </w:t>
      </w:r>
    </w:p>
    <w:p>
      <w:pPr>
        <w:spacing w:before="156" w:beforeLines="50" w:line="760" w:lineRule="exact"/>
        <w:ind w:firstLine="420" w:firstLineChars="150"/>
        <w:rPr>
          <w:rFonts w:hint="eastAsia" w:eastAsia="仿宋_GB2312"/>
          <w:sz w:val="28"/>
          <w:szCs w:val="28"/>
        </w:rPr>
      </w:pPr>
    </w:p>
    <w:p>
      <w:pPr>
        <w:spacing w:before="156" w:beforeLines="50" w:line="348" w:lineRule="auto"/>
        <w:rPr>
          <w:rFonts w:hint="eastAsia" w:eastAsia="仿宋_GB2312"/>
          <w:sz w:val="28"/>
          <w:szCs w:val="28"/>
        </w:rPr>
      </w:pPr>
    </w:p>
    <w:p>
      <w:pPr>
        <w:spacing w:before="156" w:beforeLines="50" w:line="348" w:lineRule="auto"/>
        <w:rPr>
          <w:rFonts w:hint="eastAsia" w:eastAsia="仿宋_GB2312"/>
          <w:sz w:val="28"/>
          <w:szCs w:val="28"/>
        </w:rPr>
      </w:pPr>
    </w:p>
    <w:p>
      <w:pPr>
        <w:spacing w:before="156" w:beforeLines="50" w:line="120" w:lineRule="exact"/>
        <w:ind w:firstLine="420" w:firstLineChars="150"/>
        <w:rPr>
          <w:rFonts w:hint="eastAsia" w:eastAsia="仿宋_GB2312"/>
          <w:sz w:val="28"/>
          <w:szCs w:val="28"/>
        </w:rPr>
      </w:pPr>
    </w:p>
    <w:p>
      <w:pPr>
        <w:spacing w:before="156" w:beforeLines="50" w:line="120" w:lineRule="exact"/>
        <w:ind w:firstLine="420" w:firstLineChars="150"/>
        <w:rPr>
          <w:rFonts w:hint="eastAsia" w:eastAsia="仿宋_GB2312"/>
          <w:sz w:val="28"/>
          <w:szCs w:val="28"/>
        </w:rPr>
      </w:pPr>
    </w:p>
    <w:p>
      <w:pPr>
        <w:spacing w:before="156" w:beforeLines="50" w:line="120" w:lineRule="exact"/>
        <w:ind w:firstLine="420" w:firstLineChars="150"/>
        <w:rPr>
          <w:rFonts w:hint="eastAsia" w:eastAsia="仿宋_GB2312"/>
          <w:sz w:val="28"/>
          <w:szCs w:val="28"/>
        </w:rPr>
      </w:pPr>
    </w:p>
    <w:p>
      <w:pPr>
        <w:spacing w:line="348" w:lineRule="auto"/>
        <w:jc w:val="center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报告日期： 2019  年 7  月  18 日</w:t>
      </w:r>
    </w:p>
    <w:p>
      <w:pPr>
        <w:spacing w:line="348" w:lineRule="auto"/>
        <w:jc w:val="center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岳阳市云溪区财政局（制）</w:t>
      </w:r>
    </w:p>
    <w:p>
      <w:pPr>
        <w:spacing w:line="100" w:lineRule="exact"/>
        <w:jc w:val="center"/>
        <w:rPr>
          <w:rFonts w:hint="eastAsia" w:eastAsia="仿宋_GB2312"/>
          <w:sz w:val="32"/>
        </w:rPr>
      </w:pPr>
    </w:p>
    <w:p>
      <w:pPr>
        <w:spacing w:line="100" w:lineRule="exact"/>
        <w:jc w:val="center"/>
        <w:rPr>
          <w:rFonts w:hint="eastAsia" w:eastAsia="仿宋_GB2312"/>
          <w:sz w:val="32"/>
        </w:rPr>
      </w:pPr>
    </w:p>
    <w:p>
      <w:pPr>
        <w:spacing w:line="100" w:lineRule="exact"/>
        <w:jc w:val="center"/>
        <w:rPr>
          <w:rFonts w:hint="eastAsia" w:eastAsia="仿宋_GB2312"/>
          <w:sz w:val="32"/>
        </w:rPr>
      </w:pPr>
    </w:p>
    <w:tbl>
      <w:tblPr>
        <w:tblStyle w:val="3"/>
        <w:tblW w:w="95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89"/>
        <w:gridCol w:w="602"/>
        <w:gridCol w:w="118"/>
        <w:gridCol w:w="1800"/>
        <w:gridCol w:w="22"/>
        <w:gridCol w:w="392"/>
        <w:gridCol w:w="306"/>
        <w:gridCol w:w="562"/>
        <w:gridCol w:w="785"/>
        <w:gridCol w:w="297"/>
        <w:gridCol w:w="720"/>
        <w:gridCol w:w="1620"/>
        <w:gridCol w:w="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9582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一、项 目 基 本 概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gridSpan w:val="2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项目负责人</w:t>
            </w:r>
          </w:p>
        </w:tc>
        <w:tc>
          <w:tcPr>
            <w:tcW w:w="3240" w:type="dxa"/>
            <w:gridSpan w:val="6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李树魁</w:t>
            </w:r>
          </w:p>
        </w:tc>
        <w:tc>
          <w:tcPr>
            <w:tcW w:w="1347" w:type="dxa"/>
            <w:gridSpan w:val="2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3333" w:type="dxa"/>
            <w:gridSpan w:val="4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15973028762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gridSpan w:val="2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项目地址</w:t>
            </w:r>
          </w:p>
        </w:tc>
        <w:tc>
          <w:tcPr>
            <w:tcW w:w="3240" w:type="dxa"/>
            <w:gridSpan w:val="6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云溪区罗家坡21号</w:t>
            </w:r>
          </w:p>
        </w:tc>
        <w:tc>
          <w:tcPr>
            <w:tcW w:w="1347" w:type="dxa"/>
            <w:gridSpan w:val="2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  编</w:t>
            </w:r>
          </w:p>
        </w:tc>
        <w:tc>
          <w:tcPr>
            <w:tcW w:w="3333" w:type="dxa"/>
            <w:gridSpan w:val="4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414009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gridSpan w:val="2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项目起止时间</w:t>
            </w:r>
          </w:p>
        </w:tc>
        <w:tc>
          <w:tcPr>
            <w:tcW w:w="7920" w:type="dxa"/>
            <w:gridSpan w:val="12"/>
            <w:noWrap w:val="0"/>
            <w:vAlign w:val="center"/>
          </w:tcPr>
          <w:p>
            <w:pPr>
              <w:ind w:firstLine="1190" w:firstLineChars="496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2018年     1  月起至    2018      年    12   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计划安排资金</w:t>
            </w:r>
          </w:p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150</w:t>
            </w:r>
          </w:p>
        </w:tc>
        <w:tc>
          <w:tcPr>
            <w:tcW w:w="18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实际到位资金</w:t>
            </w:r>
          </w:p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150</w:t>
            </w: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实际支出</w:t>
            </w:r>
          </w:p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150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结余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其中：中央财政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pacing w:val="-6"/>
                <w:sz w:val="24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pacing w:val="-6"/>
                <w:sz w:val="24"/>
              </w:rPr>
            </w:pPr>
            <w:r>
              <w:rPr>
                <w:rFonts w:hint="eastAsia" w:eastAsia="仿宋_GB2312"/>
                <w:spacing w:val="-6"/>
                <w:sz w:val="24"/>
              </w:rPr>
              <w:t>其中：中央财政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pacing w:val="-6"/>
                <w:sz w:val="24"/>
              </w:rPr>
            </w:pP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其中：中央财政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pacing w:val="-6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其中：中央财政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区财政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150</w:t>
            </w:r>
          </w:p>
        </w:tc>
        <w:tc>
          <w:tcPr>
            <w:tcW w:w="18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区财政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150</w:t>
            </w: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区财政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150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区财政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二、项目支出明细情况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支出内容</w:t>
            </w:r>
          </w:p>
        </w:tc>
        <w:tc>
          <w:tcPr>
            <w:tcW w:w="182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实际支出数</w:t>
            </w:r>
          </w:p>
        </w:tc>
        <w:tc>
          <w:tcPr>
            <w:tcW w:w="234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会计凭证号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区级储备利息</w:t>
            </w:r>
          </w:p>
        </w:tc>
        <w:tc>
          <w:tcPr>
            <w:tcW w:w="182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52.2万元</w:t>
            </w:r>
          </w:p>
        </w:tc>
        <w:tc>
          <w:tcPr>
            <w:tcW w:w="234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实际到位52.2万元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保管费</w:t>
            </w:r>
          </w:p>
        </w:tc>
        <w:tc>
          <w:tcPr>
            <w:tcW w:w="182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60万元</w:t>
            </w:r>
          </w:p>
        </w:tc>
        <w:tc>
          <w:tcPr>
            <w:tcW w:w="234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实际到位60万元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收购费</w:t>
            </w:r>
          </w:p>
        </w:tc>
        <w:tc>
          <w:tcPr>
            <w:tcW w:w="182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8.33万元</w:t>
            </w:r>
          </w:p>
        </w:tc>
        <w:tc>
          <w:tcPr>
            <w:tcW w:w="234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实际到位8.33万元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轮换费</w:t>
            </w:r>
          </w:p>
        </w:tc>
        <w:tc>
          <w:tcPr>
            <w:tcW w:w="182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22.33万元</w:t>
            </w:r>
          </w:p>
        </w:tc>
        <w:tc>
          <w:tcPr>
            <w:tcW w:w="234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实际到位22.33万元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正常损失损耗</w:t>
            </w:r>
          </w:p>
        </w:tc>
        <w:tc>
          <w:tcPr>
            <w:tcW w:w="182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8.2万元</w:t>
            </w:r>
          </w:p>
        </w:tc>
        <w:tc>
          <w:tcPr>
            <w:tcW w:w="234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实际到位7.14万元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拍卖佣金</w:t>
            </w:r>
          </w:p>
        </w:tc>
        <w:tc>
          <w:tcPr>
            <w:tcW w:w="182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2.8万元</w:t>
            </w:r>
          </w:p>
        </w:tc>
        <w:tc>
          <w:tcPr>
            <w:tcW w:w="234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轮换</w:t>
            </w:r>
            <w:r>
              <w:rPr>
                <w:rFonts w:hint="eastAsia" w:eastAsia="仿宋_GB2312"/>
                <w:sz w:val="24"/>
                <w:lang w:val="en-US" w:eastAsia="zh-CN"/>
              </w:rPr>
              <w:t>(销售2014年产稻谷)</w:t>
            </w:r>
            <w:r>
              <w:rPr>
                <w:rFonts w:hint="eastAsia" w:eastAsia="仿宋_GB2312"/>
                <w:sz w:val="24"/>
              </w:rPr>
              <w:t>价差</w:t>
            </w:r>
          </w:p>
        </w:tc>
        <w:tc>
          <w:tcPr>
            <w:tcW w:w="182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27.5万元</w:t>
            </w:r>
          </w:p>
        </w:tc>
        <w:tc>
          <w:tcPr>
            <w:tcW w:w="234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轮换</w:t>
            </w:r>
            <w:r>
              <w:rPr>
                <w:rFonts w:hint="eastAsia" w:eastAsia="仿宋_GB2312"/>
                <w:sz w:val="24"/>
                <w:lang w:val="en-US" w:eastAsia="zh-CN"/>
              </w:rPr>
              <w:t>(销售2018年产稻谷)</w:t>
            </w:r>
            <w:r>
              <w:rPr>
                <w:rFonts w:hint="eastAsia" w:eastAsia="仿宋_GB2312"/>
                <w:sz w:val="24"/>
              </w:rPr>
              <w:t>价差</w:t>
            </w:r>
          </w:p>
        </w:tc>
        <w:tc>
          <w:tcPr>
            <w:tcW w:w="182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24.3万元</w:t>
            </w:r>
          </w:p>
        </w:tc>
        <w:tc>
          <w:tcPr>
            <w:tcW w:w="234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sz w:val="24"/>
              </w:rPr>
              <w:t>支出合计</w:t>
            </w:r>
          </w:p>
        </w:tc>
        <w:tc>
          <w:tcPr>
            <w:tcW w:w="182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205.66</w:t>
            </w:r>
            <w:r>
              <w:rPr>
                <w:rFonts w:hint="eastAsia" w:eastAsia="仿宋_GB2312"/>
                <w:b/>
                <w:sz w:val="24"/>
              </w:rPr>
              <w:t>万元</w:t>
            </w:r>
          </w:p>
        </w:tc>
        <w:tc>
          <w:tcPr>
            <w:tcW w:w="234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实际到位150万元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三、项目绩效自评情况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项目绩效定性目标及实施计划完成情况</w:t>
            </w:r>
          </w:p>
        </w:tc>
        <w:tc>
          <w:tcPr>
            <w:tcW w:w="5073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预  期 目 标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147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</w:p>
        </w:tc>
        <w:tc>
          <w:tcPr>
            <w:tcW w:w="5073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严格执行国家粮食收购政策和质量标准，完成了区级储备粮5000吨的收购和储存任务，确保了储粮安全。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收购和存储粮食5000吨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147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项目绩效定量目标（指标）及完成情况</w:t>
            </w:r>
          </w:p>
        </w:tc>
        <w:tc>
          <w:tcPr>
            <w:tcW w:w="9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一级指标</w:t>
            </w:r>
          </w:p>
        </w:tc>
        <w:tc>
          <w:tcPr>
            <w:tcW w:w="182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二级指标</w:t>
            </w: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指标内容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指标（目标）值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实际完成值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exact"/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项目产出指标</w:t>
            </w:r>
          </w:p>
        </w:tc>
        <w:tc>
          <w:tcPr>
            <w:tcW w:w="1822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数量指标</w:t>
            </w: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收购和存储粮食5000吨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100%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2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22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质量指标</w:t>
            </w: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2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22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时效指标</w:t>
            </w: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2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22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成本指标</w:t>
            </w: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投入资金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205.66</w:t>
            </w:r>
            <w:r>
              <w:rPr>
                <w:rFonts w:hint="eastAsia" w:ascii="仿宋" w:hAnsi="仿宋" w:eastAsia="仿宋"/>
                <w:szCs w:val="21"/>
              </w:rPr>
              <w:t>万元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100%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137</w:t>
            </w:r>
            <w:r>
              <w:rPr>
                <w:rFonts w:hint="eastAsia" w:ascii="仿宋" w:hAnsi="仿宋" w:eastAsia="仿宋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2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exact"/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项目效益指标</w:t>
            </w:r>
          </w:p>
        </w:tc>
        <w:tc>
          <w:tcPr>
            <w:tcW w:w="1822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经济效益</w:t>
            </w:r>
          </w:p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确保地方粮食安全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2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exact"/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22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社会效益</w:t>
            </w:r>
          </w:p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确保社会稳定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2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22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生态效益</w:t>
            </w:r>
          </w:p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2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22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服务对象满意度指标</w:t>
            </w: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社会公众满意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2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100%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绩效自评综合得分</w:t>
            </w:r>
          </w:p>
        </w:tc>
        <w:tc>
          <w:tcPr>
            <w:tcW w:w="7200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评价等次</w:t>
            </w:r>
          </w:p>
        </w:tc>
        <w:tc>
          <w:tcPr>
            <w:tcW w:w="7200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582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四、评价人员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233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职称/职务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  位</w:t>
            </w:r>
          </w:p>
        </w:tc>
        <w:tc>
          <w:tcPr>
            <w:tcW w:w="30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3"/>
            <w:noWrap w:val="0"/>
            <w:vAlign w:val="center"/>
          </w:tcPr>
          <w:p>
            <w:pPr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卢文祥</w:t>
            </w:r>
          </w:p>
        </w:tc>
        <w:tc>
          <w:tcPr>
            <w:tcW w:w="2332" w:type="dxa"/>
            <w:gridSpan w:val="4"/>
            <w:noWrap w:val="0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副局长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云溪农业农村局</w:t>
            </w:r>
          </w:p>
        </w:tc>
        <w:tc>
          <w:tcPr>
            <w:tcW w:w="3036" w:type="dxa"/>
            <w:gridSpan w:val="3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3"/>
            <w:noWrap w:val="0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柴小平</w:t>
            </w:r>
          </w:p>
        </w:tc>
        <w:tc>
          <w:tcPr>
            <w:tcW w:w="2332" w:type="dxa"/>
            <w:gridSpan w:val="4"/>
            <w:noWrap w:val="0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粮食股股长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云溪农业农村</w:t>
            </w:r>
            <w:bookmarkStart w:id="0" w:name="_GoBack"/>
            <w:bookmarkEnd w:id="0"/>
            <w:r>
              <w:rPr>
                <w:rFonts w:hint="eastAsia" w:eastAsia="仿宋_GB2312"/>
                <w:sz w:val="24"/>
                <w:lang w:eastAsia="zh-CN"/>
              </w:rPr>
              <w:t>局</w:t>
            </w:r>
          </w:p>
        </w:tc>
        <w:tc>
          <w:tcPr>
            <w:tcW w:w="3036" w:type="dxa"/>
            <w:gridSpan w:val="3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3"/>
            <w:noWrap w:val="0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李树魁</w:t>
            </w:r>
          </w:p>
        </w:tc>
        <w:tc>
          <w:tcPr>
            <w:tcW w:w="2332" w:type="dxa"/>
            <w:gridSpan w:val="4"/>
            <w:noWrap w:val="0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惠鑫米业经理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云溪区惠鑫米业</w:t>
            </w:r>
          </w:p>
        </w:tc>
        <w:tc>
          <w:tcPr>
            <w:tcW w:w="3036" w:type="dxa"/>
            <w:gridSpan w:val="3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9582" w:type="dxa"/>
            <w:gridSpan w:val="14"/>
            <w:noWrap w:val="0"/>
            <w:vAlign w:val="center"/>
          </w:tcPr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评价组组长（签字）：         </w:t>
            </w: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exac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项目单位意见：</w:t>
            </w:r>
            <w:r>
              <w:rPr>
                <w:rFonts w:hint="eastAsia" w:eastAsia="仿宋_GB2312"/>
                <w:sz w:val="24"/>
                <w:lang w:eastAsia="zh-CN"/>
              </w:rPr>
              <w:t>项目已完成</w:t>
            </w:r>
          </w:p>
          <w:p>
            <w:pPr>
              <w:spacing w:line="440" w:lineRule="exac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项目单位负责人（签章）：</w:t>
            </w:r>
            <w:r>
              <w:rPr>
                <w:rFonts w:hint="eastAsia" w:eastAsia="仿宋_GB2312"/>
                <w:sz w:val="24"/>
                <w:lang w:eastAsia="zh-CN"/>
              </w:rPr>
              <w:t>李树魁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exact"/>
          <w:jc w:val="center"/>
        </w:trPr>
        <w:tc>
          <w:tcPr>
            <w:tcW w:w="9582" w:type="dxa"/>
            <w:gridSpan w:val="14"/>
            <w:noWrap w:val="0"/>
            <w:vAlign w:val="top"/>
          </w:tcPr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主管部门意见：</w:t>
            </w:r>
          </w:p>
          <w:p>
            <w:pPr>
              <w:spacing w:line="440" w:lineRule="exac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主管部门负责人（签章）：</w:t>
            </w:r>
            <w:r>
              <w:rPr>
                <w:rFonts w:hint="eastAsia" w:eastAsia="仿宋_GB2312"/>
                <w:sz w:val="24"/>
                <w:lang w:eastAsia="zh-CN"/>
              </w:rPr>
              <w:t>卢文祥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exac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财政部门归口业务股室意见：</w:t>
            </w: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财政部门归口业务股室负责人（签章）：</w:t>
            </w: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</w:tbl>
    <w:p>
      <w:pPr>
        <w:rPr>
          <w:rFonts w:hint="eastAsia" w:eastAsia="仿宋_GB2312" w:cs="仿宋_GB2312"/>
          <w:bCs/>
          <w:sz w:val="28"/>
          <w:szCs w:val="28"/>
        </w:rPr>
      </w:pPr>
      <w:r>
        <w:rPr>
          <w:rFonts w:hint="eastAsia" w:eastAsia="仿宋_GB2312" w:cs="仿宋_GB2312"/>
          <w:bCs/>
          <w:sz w:val="28"/>
          <w:szCs w:val="28"/>
        </w:rPr>
        <w:t xml:space="preserve">填报人（签名）： </w:t>
      </w:r>
      <w:r>
        <w:rPr>
          <w:rFonts w:hint="eastAsia" w:eastAsia="仿宋_GB2312" w:cs="仿宋_GB2312"/>
          <w:bCs/>
          <w:sz w:val="28"/>
          <w:szCs w:val="28"/>
          <w:lang w:eastAsia="zh-CN"/>
        </w:rPr>
        <w:t>杨嘉勇</w:t>
      </w:r>
      <w:r>
        <w:rPr>
          <w:rFonts w:hint="eastAsia" w:eastAsia="仿宋_GB2312" w:cs="仿宋_GB2312"/>
          <w:bCs/>
          <w:sz w:val="28"/>
          <w:szCs w:val="28"/>
        </w:rPr>
        <w:t xml:space="preserve">                         联系电话：</w:t>
      </w:r>
    </w:p>
    <w:tbl>
      <w:tblPr>
        <w:tblStyle w:val="3"/>
        <w:tblW w:w="93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369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五、评价报告综述（文字部分）</w:t>
            </w:r>
          </w:p>
          <w:p>
            <w:pPr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一、基本情况</w:t>
            </w:r>
          </w:p>
          <w:p>
            <w:pPr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根据岳阳市粮联发【2009】23号文件，下达我区区级储备粮计划5000吨，2018年我公司在中国农业发展银行云溪支行贷款1094.4万元，轮换收购区级储备粮5000吨，资金管理专款专用。根据区级储备粮管理办法及参照省、市储备粮费用补贴标准，收购费50元/吨，保管费120元/吨，利率2018年度为4.35%，轮换费为134元/吨，正常损失损耗2.05%，即2018区财政应拨补贴费用：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收购费：5000吨×50元／吨=25万元÷3=8.33万元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保管费：5000吨×120元/吨=60万元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利息：1200万×4.35%=52.2万元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轮换费：5000吨×134元/吨÷3=22.33万元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正常损失损耗：5000吨×2.05%÷3=34.17吨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34.17吨×2400元/吨=8.2万元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（6）出库拍卖费:2.8万元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（7）轮换价差82.5÷3=27.5万元（轮换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出库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2014年收购粮食1529吨）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轮换价差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24.3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万元（轮换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出库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201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年收购粮食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3471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吨）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合计费用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205.66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万元，共计应补贴费用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205.66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万元。2018实际到位资金150万元。由于补贴费用不够，加之粮食市场疲软，收购价格高，销售价格低，轮换产生了一定的价差。企业已无法承担政策性的亏损，为了加强区级储备粮管理，按照区级储备粮管理要求，严格落实管理责任，坚持一、三、五、七进仓检查制度，确保储粮安全。建立了储粮登记记录，确保账、卡、及会、统、保、数量相符。确保与农发行贷款挂钩相符，通过主管部门的监督检查，所有储粮安全。近年来，我公司对储粮设施进行了改造升级，为了确保储粮安全打下了坚实的基础。目前，我公司所有储粮全面实行机械通风，现正在向上级申报智能化管理项目，逐步提高管理水平，达到现代化管理要求。目前，区级储备粮管理存在的问题主要是费用补贴不足，价差亏损风险大。建议政府参照中央储备粮及省级储备粮补贴标准，按实拨补到承储企业，轮换出库采取灵活办法抓住销售有利时机，减少报批环节，在主管部门纪检监督下，争取顺价灵活销售，减少价差亏损风险。</w:t>
            </w:r>
          </w:p>
          <w:p>
            <w:pPr>
              <w:numPr>
                <w:ilvl w:val="0"/>
                <w:numId w:val="2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资金的管理和使用情况</w:t>
            </w:r>
          </w:p>
          <w:p>
            <w:pPr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为规范项目管理，确保项目质量，制定了项目管理制度，强化项目资金管理，严格做到“专账管理、专款专用”。2018年共计收购区级储备粮稻谷5000吨，共计价款1200万元。</w:t>
            </w:r>
          </w:p>
          <w:p>
            <w:pPr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三、组织实施情况</w:t>
            </w:r>
          </w:p>
          <w:p>
            <w:pPr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我局年初召开子班子成员会，对项目资金的使用进行了认真细致的研究，由纪检组长和分管财务领导负责日常的检查监督，严格按照资金封闭运行管理。</w:t>
            </w:r>
          </w:p>
          <w:p>
            <w:pPr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四、资金绩效情况</w:t>
            </w:r>
          </w:p>
          <w:p>
            <w:pPr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我局监督企业严格执行区级储备粮管理办法，实行资金封闭运行，专款专用。2018年度共计收购区级储备粮5000吨，保证了地方粮食安全，产生了一定的经济效益和社会效益，得到了社会公众的好评。</w:t>
            </w:r>
          </w:p>
          <w:p>
            <w:pPr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五、自评情况</w:t>
            </w:r>
          </w:p>
          <w:p>
            <w:pPr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按照区级储备粮管理要求，严格落实管理责任，严格执行资金封闭运行，收购了符合国家粮食标准的区级储备粮5000吨。在粮食保管方面，坚持一、三、五、七进仓检查制度，确保储粮安全。建立了储粮登记记录，确保账、卡、及会、统、保、数量相符。确保与农发行贷款挂钩相符，通过主管部门的监督检查，所有储粮安全。近年来，我公司对储粮设施进行了改造升级，为确保储粮安全打下了坚实的基础。目前，我公司所有储粮全面实行机械通风，现正在向上级申报智能化管理项目，逐步提高管理要求，达到现代化管理要求。对照评分标准，我们自评分   分。</w:t>
            </w:r>
          </w:p>
          <w:p>
            <w:pPr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六、意见建议</w:t>
            </w:r>
          </w:p>
          <w:p>
            <w:pPr>
              <w:spacing w:line="440" w:lineRule="exact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目前，区级储备粮管理存在的问题主要是费用补贴不足，价差亏损风险大。建议政府参照中央储备粮及省级储备粮补贴标准，按实拨补到承储企业，轮换出库采取灵活办法抓住销售有利时机，减少报批环节，在主管部门纪检监督下，争取顺价灵活销售，减少价差亏损风险</w:t>
            </w:r>
          </w:p>
          <w:p>
            <w:pPr>
              <w:spacing w:line="560" w:lineRule="exact"/>
              <w:ind w:firstLine="560" w:firstLineChars="200"/>
              <w:rPr>
                <w:rFonts w:eastAsia="楷体_GB2312"/>
                <w:bCs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200" w:lineRule="exact"/>
        <w:contextualSpacing/>
        <w:rPr>
          <w:rFonts w:hint="eastAsia" w:eastAsia="仿宋_GB2312"/>
          <w:sz w:val="32"/>
        </w:rPr>
      </w:pPr>
    </w:p>
    <w:p/>
    <w:sectPr>
      <w:footerReference r:id="rId3" w:type="default"/>
      <w:footerReference r:id="rId4" w:type="even"/>
      <w:pgSz w:w="11906" w:h="16838"/>
      <w:pgMar w:top="1588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4"/>
        <w:szCs w:val="24"/>
      </w:rPr>
    </w:pPr>
    <w:r>
      <w:rPr>
        <w:rStyle w:val="5"/>
        <w:rFonts w:hint="eastAsia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5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5"/>
        <w:sz w:val="24"/>
        <w:szCs w:val="24"/>
      </w:rPr>
      <w:t>12</w:t>
    </w:r>
    <w:r>
      <w:rPr>
        <w:sz w:val="24"/>
        <w:szCs w:val="24"/>
      </w:rPr>
      <w:fldChar w:fldCharType="end"/>
    </w:r>
    <w:r>
      <w:rPr>
        <w:rStyle w:val="5"/>
        <w:rFonts w:hint="eastAsia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34</w: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619A4"/>
    <w:multiLevelType w:val="multilevel"/>
    <w:tmpl w:val="23C619A4"/>
    <w:lvl w:ilvl="0" w:tentative="0">
      <w:start w:val="2"/>
      <w:numFmt w:val="japaneseCounting"/>
      <w:lvlText w:val="%1、"/>
      <w:lvlJc w:val="left"/>
      <w:pPr>
        <w:tabs>
          <w:tab w:val="left" w:pos="1360"/>
        </w:tabs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abstractNum w:abstractNumId="1">
    <w:nsid w:val="45853251"/>
    <w:multiLevelType w:val="multilevel"/>
    <w:tmpl w:val="45853251"/>
    <w:lvl w:ilvl="0" w:tentative="0">
      <w:start w:val="1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0B4D14"/>
    <w:rsid w:val="41D7322B"/>
    <w:rsid w:val="550B4D14"/>
    <w:rsid w:val="55C7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2019-07-19T01:51:00Z</dcterms:created>
  <dc:creator>Administrator</dc:creator>
  <cp:lastModifiedBy>Administrator</cp:lastModifiedBy>
  <dcterms:modified xsi:type="dcterms:W3CDTF">2019-07-31T08:13:08Z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