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bidi w:val="0"/>
        <w:spacing w:line="540" w:lineRule="exact"/>
        <w:rPr>
          <w:rFonts w:hint="eastAsia" w:ascii="黑体" w:hAnsi="黑体" w:eastAsia="黑体" w:cs="黑体"/>
          <w:bCs/>
          <w:sz w:val="32"/>
          <w:szCs w:val="32"/>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2-2</w:t>
      </w:r>
      <w:r>
        <w:rPr>
          <w:rFonts w:hint="eastAsia" w:ascii="黑体" w:hAnsi="黑体" w:eastAsia="黑体" w:cs="黑体"/>
          <w:bCs/>
          <w:sz w:val="32"/>
          <w:szCs w:val="32"/>
        </w:rPr>
        <w:t>：</w:t>
      </w:r>
    </w:p>
    <w:p>
      <w:pPr>
        <w:keepNext w:val="0"/>
        <w:keepLines w:val="0"/>
        <w:pageBreakBefore w:val="0"/>
        <w:kinsoku/>
        <w:overflowPunct/>
        <w:topLinePunct w:val="0"/>
        <w:autoSpaceDE/>
        <w:bidi w:val="0"/>
        <w:spacing w:line="540" w:lineRule="exact"/>
        <w:rPr>
          <w:rFonts w:hint="eastAsia" w:eastAsia="黑体" w:cs="黑体"/>
          <w:bCs/>
          <w:sz w:val="32"/>
          <w:szCs w:val="32"/>
        </w:rPr>
      </w:pPr>
    </w:p>
    <w:p>
      <w:pPr>
        <w:keepNext w:val="0"/>
        <w:keepLines w:val="0"/>
        <w:pageBreakBefore w:val="0"/>
        <w:kinsoku/>
        <w:overflowPunct/>
        <w:topLinePunct w:val="0"/>
        <w:autoSpaceDE/>
        <w:bidi w:val="0"/>
        <w:spacing w:line="540" w:lineRule="exact"/>
        <w:jc w:val="center"/>
        <w:rPr>
          <w:rFonts w:hint="eastAsia" w:eastAsia="方正小标宋简体"/>
          <w:bCs/>
          <w:sz w:val="44"/>
          <w:szCs w:val="44"/>
        </w:rPr>
      </w:pPr>
      <w:r>
        <w:rPr>
          <w:rFonts w:hint="eastAsia" w:eastAsia="方正小标宋简体"/>
          <w:bCs/>
          <w:sz w:val="44"/>
          <w:szCs w:val="44"/>
        </w:rPr>
        <w:t>岳阳市云溪区</w:t>
      </w:r>
      <w:r>
        <w:rPr>
          <w:rFonts w:hint="eastAsia" w:eastAsia="方正小标宋简体"/>
          <w:bCs/>
          <w:sz w:val="44"/>
          <w:szCs w:val="44"/>
          <w:lang w:eastAsia="zh-CN"/>
        </w:rPr>
        <w:t>预算</w:t>
      </w:r>
      <w:r>
        <w:rPr>
          <w:rFonts w:hint="eastAsia" w:eastAsia="方正小标宋简体"/>
          <w:bCs/>
          <w:sz w:val="44"/>
          <w:szCs w:val="44"/>
        </w:rPr>
        <w:t>支出绩效评价自评报告</w:t>
      </w:r>
    </w:p>
    <w:p>
      <w:pPr>
        <w:keepNext w:val="0"/>
        <w:keepLines w:val="0"/>
        <w:pageBreakBefore w:val="0"/>
        <w:kinsoku/>
        <w:overflowPunct/>
        <w:topLinePunct w:val="0"/>
        <w:autoSpaceDE/>
        <w:bidi w:val="0"/>
        <w:spacing w:line="540" w:lineRule="exact"/>
        <w:rPr>
          <w:rFonts w:hint="eastAsia" w:eastAsia="仿宋_GB2312"/>
          <w:b/>
          <w:sz w:val="32"/>
        </w:rPr>
      </w:pPr>
    </w:p>
    <w:p>
      <w:pPr>
        <w:keepNext w:val="0"/>
        <w:keepLines w:val="0"/>
        <w:pageBreakBefore w:val="0"/>
        <w:kinsoku/>
        <w:overflowPunct/>
        <w:topLinePunct w:val="0"/>
        <w:autoSpaceDE/>
        <w:bidi w:val="0"/>
        <w:spacing w:line="540" w:lineRule="exact"/>
        <w:rPr>
          <w:rFonts w:hint="eastAsia" w:eastAsia="仿宋_GB2312"/>
          <w:b/>
          <w:sz w:val="32"/>
        </w:rPr>
      </w:pPr>
    </w:p>
    <w:p>
      <w:pPr>
        <w:keepNext w:val="0"/>
        <w:keepLines w:val="0"/>
        <w:pageBreakBefore w:val="0"/>
        <w:widowControl w:val="0"/>
        <w:kinsoku/>
        <w:wordWrap/>
        <w:overflowPunct/>
        <w:topLinePunct w:val="0"/>
        <w:autoSpaceDE/>
        <w:autoSpaceDN/>
        <w:bidi w:val="0"/>
        <w:adjustRightInd/>
        <w:snapToGrid/>
        <w:spacing w:line="640" w:lineRule="exact"/>
        <w:ind w:firstLine="470" w:firstLineChars="147"/>
        <w:textAlignment w:val="auto"/>
        <w:rPr>
          <w:rFonts w:hint="eastAsia" w:eastAsia="仿宋_GB2312"/>
          <w:sz w:val="32"/>
          <w:szCs w:val="32"/>
          <w:lang w:eastAsia="zh-CN"/>
        </w:rPr>
      </w:pPr>
      <w:r>
        <w:rPr>
          <w:rFonts w:hint="eastAsia" w:eastAsia="仿宋_GB2312"/>
          <w:sz w:val="32"/>
          <w:szCs w:val="32"/>
        </w:rPr>
        <w:t>评价类型：项目实施过程评价□   项目完成结果评价</w:t>
      </w:r>
      <w:r>
        <w:rPr>
          <w:rFonts w:hint="eastAsia"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150"/>
        <w:textAlignment w:val="auto"/>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val="en-US" w:eastAsia="zh-CN"/>
        </w:rPr>
        <w:t>基本公共卫生服务项目</w:t>
      </w:r>
      <w:r>
        <w:rPr>
          <w:rFonts w:hint="default" w:eastAsia="仿宋_GB2312"/>
          <w:sz w:val="32"/>
          <w:u w:val="single"/>
          <w:lang w:eastAsia="zh-CN"/>
        </w:rPr>
        <w:t>　</w:t>
      </w:r>
      <w:r>
        <w:rPr>
          <w:rFonts w:hint="eastAsia" w:eastAsia="仿宋_GB2312"/>
          <w:sz w:val="32"/>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150"/>
        <w:textAlignment w:val="auto"/>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val="en-US" w:eastAsia="zh-CN"/>
        </w:rPr>
        <w:t>云溪区卫生健康局</w:t>
      </w:r>
      <w:r>
        <w:rPr>
          <w:rFonts w:hint="eastAsia" w:eastAsia="仿宋_GB2312"/>
          <w:sz w:val="32"/>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150"/>
        <w:textAlignment w:val="auto"/>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val="en-US" w:eastAsia="zh-CN"/>
        </w:rPr>
        <w:t>岳阳市卫健委、岳阳市财政局</w:t>
      </w:r>
      <w:r>
        <w:rPr>
          <w:rFonts w:hint="eastAsia" w:eastAsia="仿宋_GB2312"/>
          <w:sz w:val="32"/>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150"/>
        <w:textAlignment w:val="auto"/>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150"/>
        <w:textAlignment w:val="auto"/>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keepNext w:val="0"/>
        <w:keepLines w:val="0"/>
        <w:pageBreakBefore w:val="0"/>
        <w:kinsoku/>
        <w:overflowPunct/>
        <w:topLinePunct w:val="0"/>
        <w:autoSpaceDE/>
        <w:bidi w:val="0"/>
        <w:spacing w:line="540" w:lineRule="exact"/>
        <w:ind w:firstLine="420" w:firstLineChars="150"/>
        <w:rPr>
          <w:rFonts w:hint="eastAsia" w:eastAsia="仿宋_GB2312"/>
          <w:sz w:val="28"/>
          <w:szCs w:val="28"/>
        </w:rPr>
      </w:pPr>
    </w:p>
    <w:p>
      <w:pPr>
        <w:keepNext w:val="0"/>
        <w:keepLines w:val="0"/>
        <w:pageBreakBefore w:val="0"/>
        <w:kinsoku/>
        <w:overflowPunct/>
        <w:topLinePunct w:val="0"/>
        <w:autoSpaceDE/>
        <w:bidi w:val="0"/>
        <w:spacing w:line="540" w:lineRule="exact"/>
        <w:ind w:firstLine="420" w:firstLineChars="150"/>
        <w:rPr>
          <w:rFonts w:hint="eastAsia" w:eastAsia="仿宋_GB2312"/>
          <w:sz w:val="28"/>
          <w:szCs w:val="28"/>
        </w:rPr>
      </w:pPr>
    </w:p>
    <w:p>
      <w:pPr>
        <w:keepNext w:val="0"/>
        <w:keepLines w:val="0"/>
        <w:pageBreakBefore w:val="0"/>
        <w:kinsoku/>
        <w:overflowPunct/>
        <w:topLinePunct w:val="0"/>
        <w:autoSpaceDE/>
        <w:bidi w:val="0"/>
        <w:spacing w:line="540" w:lineRule="exact"/>
        <w:ind w:firstLine="420" w:firstLineChars="150"/>
        <w:rPr>
          <w:rFonts w:hint="eastAsia" w:eastAsia="仿宋_GB2312"/>
          <w:sz w:val="28"/>
          <w:szCs w:val="28"/>
        </w:rPr>
      </w:pPr>
    </w:p>
    <w:p>
      <w:pPr>
        <w:keepNext w:val="0"/>
        <w:keepLines w:val="0"/>
        <w:pageBreakBefore w:val="0"/>
        <w:kinsoku/>
        <w:overflowPunct/>
        <w:topLinePunct w:val="0"/>
        <w:autoSpaceDE/>
        <w:bidi w:val="0"/>
        <w:spacing w:line="540" w:lineRule="exact"/>
        <w:ind w:firstLine="420" w:firstLineChars="150"/>
        <w:rPr>
          <w:rFonts w:hint="eastAsia" w:eastAsia="仿宋_GB2312"/>
          <w:sz w:val="28"/>
          <w:szCs w:val="28"/>
        </w:rPr>
      </w:pPr>
    </w:p>
    <w:p>
      <w:pPr>
        <w:keepNext w:val="0"/>
        <w:keepLines w:val="0"/>
        <w:pageBreakBefore w:val="0"/>
        <w:kinsoku/>
        <w:overflowPunct/>
        <w:topLinePunct w:val="0"/>
        <w:autoSpaceDE/>
        <w:bidi w:val="0"/>
        <w:spacing w:line="540" w:lineRule="exact"/>
        <w:ind w:firstLine="420" w:firstLineChars="150"/>
        <w:rPr>
          <w:rFonts w:hint="eastAsia" w:eastAsia="仿宋_GB2312"/>
          <w:sz w:val="28"/>
          <w:szCs w:val="28"/>
        </w:rPr>
      </w:pPr>
    </w:p>
    <w:p>
      <w:pPr>
        <w:keepNext w:val="0"/>
        <w:keepLines w:val="0"/>
        <w:pageBreakBefore w:val="0"/>
        <w:kinsoku/>
        <w:overflowPunct/>
        <w:topLinePunct w:val="0"/>
        <w:autoSpaceDE/>
        <w:bidi w:val="0"/>
        <w:spacing w:line="540" w:lineRule="exact"/>
        <w:ind w:firstLine="420" w:firstLineChars="150"/>
        <w:rPr>
          <w:rFonts w:hint="eastAsia" w:eastAsia="仿宋_GB2312"/>
          <w:sz w:val="28"/>
          <w:szCs w:val="28"/>
        </w:rPr>
      </w:pPr>
    </w:p>
    <w:p>
      <w:pPr>
        <w:keepNext w:val="0"/>
        <w:keepLines w:val="0"/>
        <w:pageBreakBefore w:val="0"/>
        <w:kinsoku/>
        <w:overflowPunct/>
        <w:topLinePunct w:val="0"/>
        <w:autoSpaceDE/>
        <w:bidi w:val="0"/>
        <w:spacing w:line="540" w:lineRule="exact"/>
        <w:ind w:firstLine="420" w:firstLineChars="150"/>
        <w:rPr>
          <w:rFonts w:hint="eastAsia" w:eastAsia="仿宋_GB2312"/>
          <w:sz w:val="28"/>
          <w:szCs w:val="28"/>
        </w:rPr>
      </w:pPr>
    </w:p>
    <w:p>
      <w:pPr>
        <w:keepNext w:val="0"/>
        <w:keepLines w:val="0"/>
        <w:pageBreakBefore w:val="0"/>
        <w:kinsoku/>
        <w:overflowPunct/>
        <w:topLinePunct w:val="0"/>
        <w:autoSpaceDE/>
        <w:bidi w:val="0"/>
        <w:spacing w:line="540" w:lineRule="exact"/>
        <w:ind w:firstLine="420" w:firstLineChars="150"/>
        <w:rPr>
          <w:rFonts w:hint="eastAsia" w:eastAsia="仿宋_GB2312"/>
          <w:sz w:val="28"/>
          <w:szCs w:val="28"/>
        </w:rPr>
      </w:pPr>
    </w:p>
    <w:p>
      <w:pPr>
        <w:keepNext w:val="0"/>
        <w:keepLines w:val="0"/>
        <w:pageBreakBefore w:val="0"/>
        <w:kinsoku/>
        <w:overflowPunct/>
        <w:topLinePunct w:val="0"/>
        <w:autoSpaceDE/>
        <w:bidi w:val="0"/>
        <w:spacing w:line="540" w:lineRule="exact"/>
        <w:ind w:firstLine="420" w:firstLineChars="150"/>
        <w:rPr>
          <w:rFonts w:hint="eastAsia" w:eastAsia="仿宋_GB2312"/>
          <w:sz w:val="28"/>
          <w:szCs w:val="28"/>
        </w:rPr>
      </w:pPr>
    </w:p>
    <w:p>
      <w:pPr>
        <w:keepNext w:val="0"/>
        <w:keepLines w:val="0"/>
        <w:pageBreakBefore w:val="0"/>
        <w:kinsoku/>
        <w:overflowPunct/>
        <w:topLinePunct w:val="0"/>
        <w:autoSpaceDE/>
        <w:bidi w:val="0"/>
        <w:spacing w:line="540" w:lineRule="exact"/>
        <w:jc w:val="center"/>
        <w:rPr>
          <w:rFonts w:hint="eastAsia" w:eastAsia="仿宋_GB2312"/>
          <w:sz w:val="32"/>
        </w:rPr>
      </w:pPr>
      <w:r>
        <w:rPr>
          <w:rFonts w:hint="eastAsia" w:eastAsia="仿宋_GB2312"/>
          <w:sz w:val="32"/>
        </w:rPr>
        <w:t>报告日期：</w:t>
      </w:r>
      <w:r>
        <w:rPr>
          <w:rFonts w:hint="eastAsia" w:eastAsia="仿宋_GB2312"/>
          <w:sz w:val="32"/>
          <w:lang w:val="en-US" w:eastAsia="zh-CN"/>
        </w:rPr>
        <w:t>2023</w:t>
      </w:r>
      <w:r>
        <w:rPr>
          <w:rFonts w:hint="eastAsia" w:eastAsia="仿宋_GB2312"/>
          <w:sz w:val="32"/>
        </w:rPr>
        <w:t>年</w:t>
      </w:r>
      <w:r>
        <w:rPr>
          <w:rFonts w:hint="eastAsia" w:eastAsia="仿宋_GB2312"/>
          <w:sz w:val="32"/>
          <w:lang w:val="en-US" w:eastAsia="zh-CN"/>
        </w:rPr>
        <w:t>6</w:t>
      </w:r>
      <w:r>
        <w:rPr>
          <w:rFonts w:hint="eastAsia" w:eastAsia="仿宋_GB2312"/>
          <w:sz w:val="32"/>
        </w:rPr>
        <w:t>月   日</w:t>
      </w:r>
    </w:p>
    <w:p>
      <w:pPr>
        <w:keepNext w:val="0"/>
        <w:keepLines w:val="0"/>
        <w:pageBreakBefore w:val="0"/>
        <w:kinsoku/>
        <w:overflowPunct/>
        <w:topLinePunct w:val="0"/>
        <w:autoSpaceDE/>
        <w:bidi w:val="0"/>
        <w:spacing w:line="540" w:lineRule="exact"/>
        <w:jc w:val="center"/>
        <w:rPr>
          <w:rFonts w:hint="eastAsia" w:eastAsia="仿宋_GB2312"/>
          <w:sz w:val="32"/>
        </w:rPr>
      </w:pPr>
      <w:r>
        <w:rPr>
          <w:rFonts w:hint="eastAsia" w:eastAsia="仿宋_GB2312"/>
          <w:sz w:val="32"/>
        </w:rPr>
        <w:t>岳阳市云溪区财政局（制）</w:t>
      </w:r>
    </w:p>
    <w:tbl>
      <w:tblPr>
        <w:tblStyle w:val="5"/>
        <w:tblW w:w="9999" w:type="dxa"/>
        <w:jc w:val="center"/>
        <w:tblLayout w:type="autofit"/>
        <w:tblCellMar>
          <w:top w:w="0" w:type="dxa"/>
          <w:left w:w="108" w:type="dxa"/>
          <w:bottom w:w="0" w:type="dxa"/>
          <w:right w:w="108" w:type="dxa"/>
        </w:tblCellMar>
      </w:tblPr>
      <w:tblGrid>
        <w:gridCol w:w="1135"/>
        <w:gridCol w:w="992"/>
        <w:gridCol w:w="909"/>
        <w:gridCol w:w="1507"/>
        <w:gridCol w:w="1203"/>
        <w:gridCol w:w="1134"/>
        <w:gridCol w:w="828"/>
        <w:gridCol w:w="873"/>
        <w:gridCol w:w="1418"/>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noWrap/>
            <w:vAlign w:val="center"/>
          </w:tcPr>
          <w:p>
            <w:pPr>
              <w:keepNext w:val="0"/>
              <w:keepLines w:val="0"/>
              <w:pageBreakBefore w:val="0"/>
              <w:widowControl/>
              <w:kinsoku/>
              <w:overflowPunct/>
              <w:topLinePunct w:val="0"/>
              <w:autoSpaceDE/>
              <w:bidi w:val="0"/>
              <w:spacing w:line="540" w:lineRule="exact"/>
              <w:jc w:val="center"/>
              <w:rPr>
                <w:rFonts w:eastAsia="方正小标宋_GBK"/>
                <w:color w:val="000000"/>
                <w:kern w:val="0"/>
                <w:sz w:val="36"/>
                <w:szCs w:val="36"/>
              </w:rPr>
            </w:pP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noWrap/>
            <w:vAlign w:val="center"/>
          </w:tcPr>
          <w:p>
            <w:pPr>
              <w:keepNext w:val="0"/>
              <w:keepLines w:val="0"/>
              <w:pageBreakBefore w:val="0"/>
              <w:widowControl/>
              <w:kinsoku/>
              <w:overflowPunct/>
              <w:topLinePunct w:val="0"/>
              <w:autoSpaceDE/>
              <w:bidi w:val="0"/>
              <w:spacing w:line="540" w:lineRule="exact"/>
              <w:jc w:val="center"/>
              <w:rPr>
                <w:color w:val="000000"/>
                <w:kern w:val="0"/>
                <w:sz w:val="22"/>
              </w:rPr>
            </w:pPr>
          </w:p>
        </w:tc>
      </w:tr>
      <w:tr>
        <w:tblPrEx>
          <w:tblCellMar>
            <w:top w:w="0" w:type="dxa"/>
            <w:left w:w="108" w:type="dxa"/>
            <w:bottom w:w="0" w:type="dxa"/>
            <w:right w:w="108" w:type="dxa"/>
          </w:tblCellMar>
        </w:tblPrEx>
        <w:trPr>
          <w:trHeight w:val="585" w:hRule="atLeast"/>
          <w:jc w:val="center"/>
        </w:trPr>
        <w:tc>
          <w:tcPr>
            <w:tcW w:w="1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bidi w:val="0"/>
              <w:spacing w:line="540" w:lineRule="exact"/>
              <w:jc w:val="center"/>
              <w:rPr>
                <w:rFonts w:eastAsia="仿宋_GB2312"/>
                <w:color w:val="000000"/>
                <w:kern w:val="0"/>
                <w:szCs w:val="21"/>
              </w:rPr>
            </w:pPr>
            <w:r>
              <w:rPr>
                <w:rFonts w:eastAsia="仿宋_GB2312"/>
                <w:color w:val="000000"/>
                <w:kern w:val="0"/>
                <w:szCs w:val="21"/>
              </w:rPr>
              <w:t>项目支</w:t>
            </w:r>
          </w:p>
          <w:p>
            <w:pPr>
              <w:keepNext w:val="0"/>
              <w:keepLines w:val="0"/>
              <w:pageBreakBefore w:val="0"/>
              <w:widowControl/>
              <w:kinsoku/>
              <w:overflowPunct/>
              <w:topLinePunct w:val="0"/>
              <w:autoSpaceDE/>
              <w:bidi w:val="0"/>
              <w:spacing w:line="540" w:lineRule="exact"/>
              <w:jc w:val="center"/>
              <w:rPr>
                <w:rFonts w:eastAsia="仿宋_GB2312"/>
                <w:color w:val="000000"/>
                <w:kern w:val="0"/>
                <w:szCs w:val="21"/>
              </w:rPr>
            </w:pPr>
            <w:r>
              <w:rPr>
                <w:rFonts w:eastAsia="仿宋_GB2312"/>
                <w:color w:val="000000"/>
                <w:kern w:val="0"/>
                <w:szCs w:val="21"/>
              </w:rPr>
              <w:t>出名称</w:t>
            </w:r>
          </w:p>
        </w:tc>
        <w:tc>
          <w:tcPr>
            <w:tcW w:w="8864"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bidi w:val="0"/>
              <w:spacing w:line="540" w:lineRule="exact"/>
              <w:jc w:val="center"/>
              <w:rPr>
                <w:rFonts w:eastAsia="仿宋_GB2312"/>
                <w:color w:val="000000"/>
                <w:kern w:val="0"/>
                <w:szCs w:val="21"/>
              </w:rPr>
            </w:pPr>
            <w:r>
              <w:rPr>
                <w:rFonts w:hint="eastAsia" w:eastAsia="仿宋_GB2312"/>
                <w:color w:val="000000"/>
                <w:kern w:val="0"/>
                <w:szCs w:val="21"/>
                <w:lang w:val="en-US" w:eastAsia="zh-CN"/>
              </w:rPr>
              <w:t>基本公共卫生服务项目</w:t>
            </w:r>
            <w:r>
              <w:rPr>
                <w:rFonts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bidi w:val="0"/>
              <w:spacing w:line="540" w:lineRule="exact"/>
              <w:jc w:val="left"/>
              <w:rPr>
                <w:rFonts w:eastAsia="仿宋_GB2312"/>
                <w:color w:val="000000"/>
                <w:kern w:val="0"/>
                <w:szCs w:val="21"/>
              </w:rPr>
            </w:pPr>
            <w:r>
              <w:rPr>
                <w:rFonts w:eastAsia="仿宋_GB2312"/>
                <w:color w:val="000000"/>
                <w:kern w:val="0"/>
                <w:szCs w:val="21"/>
              </w:rPr>
              <w:t>主管部门</w:t>
            </w:r>
          </w:p>
        </w:tc>
        <w:tc>
          <w:tcPr>
            <w:tcW w:w="461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bidi w:val="0"/>
              <w:spacing w:line="540" w:lineRule="exact"/>
              <w:jc w:val="center"/>
              <w:rPr>
                <w:rFonts w:eastAsia="仿宋_GB2312"/>
                <w:color w:val="000000"/>
                <w:kern w:val="0"/>
                <w:szCs w:val="21"/>
              </w:rPr>
            </w:pPr>
            <w:r>
              <w:rPr>
                <w:rFonts w:hint="eastAsia" w:eastAsia="仿宋_GB2312"/>
                <w:color w:val="000000"/>
                <w:kern w:val="0"/>
                <w:szCs w:val="21"/>
                <w:lang w:val="en-US" w:eastAsia="zh-CN"/>
              </w:rPr>
              <w:t>岳阳市卫健委、岳阳市财政局</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bidi w:val="0"/>
              <w:spacing w:line="540" w:lineRule="exact"/>
              <w:jc w:val="center"/>
              <w:rPr>
                <w:rFonts w:eastAsia="仿宋_GB2312"/>
                <w:color w:val="000000"/>
                <w:kern w:val="0"/>
                <w:szCs w:val="21"/>
              </w:rPr>
            </w:pPr>
            <w:r>
              <w:rPr>
                <w:rFonts w:eastAsia="仿宋_GB2312"/>
                <w:color w:val="000000"/>
                <w:kern w:val="0"/>
                <w:szCs w:val="21"/>
              </w:rPr>
              <w:t>实施单位</w:t>
            </w:r>
          </w:p>
        </w:tc>
        <w:tc>
          <w:tcPr>
            <w:tcW w:w="311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bidi w:val="0"/>
              <w:spacing w:line="540" w:lineRule="exact"/>
              <w:jc w:val="center"/>
              <w:rPr>
                <w:rFonts w:eastAsia="仿宋_GB2312"/>
                <w:color w:val="000000"/>
                <w:kern w:val="0"/>
                <w:szCs w:val="21"/>
              </w:rPr>
            </w:pPr>
            <w:r>
              <w:rPr>
                <w:rFonts w:hint="eastAsia" w:eastAsia="仿宋_GB2312"/>
                <w:color w:val="000000"/>
                <w:kern w:val="0"/>
                <w:szCs w:val="21"/>
                <w:lang w:val="en-US" w:eastAsia="zh-CN"/>
              </w:rPr>
              <w:t>云溪区卫生健康局</w:t>
            </w:r>
          </w:p>
        </w:tc>
      </w:tr>
      <w:tr>
        <w:tblPrEx>
          <w:tblCellMar>
            <w:top w:w="0" w:type="dxa"/>
            <w:left w:w="108" w:type="dxa"/>
            <w:bottom w:w="0" w:type="dxa"/>
            <w:right w:w="108" w:type="dxa"/>
          </w:tblCellMar>
        </w:tblPrEx>
        <w:trPr>
          <w:trHeight w:val="340" w:hRule="atLeast"/>
          <w:jc w:val="center"/>
        </w:trPr>
        <w:tc>
          <w:tcPr>
            <w:tcW w:w="113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eastAsia="仿宋_GB2312"/>
                <w:color w:val="000000"/>
                <w:kern w:val="0"/>
                <w:szCs w:val="21"/>
                <w:lang w:eastAsia="zh-CN"/>
              </w:rPr>
            </w:pPr>
            <w:r>
              <w:rPr>
                <w:rFonts w:eastAsia="仿宋_GB2312"/>
                <w:color w:val="000000"/>
                <w:kern w:val="0"/>
                <w:szCs w:val="21"/>
              </w:rPr>
              <w:t>项目资金</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（万元）</w:t>
            </w:r>
          </w:p>
        </w:tc>
        <w:tc>
          <w:tcPr>
            <w:tcW w:w="190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c>
          <w:tcPr>
            <w:tcW w:w="15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spacing w:val="-20"/>
                <w:kern w:val="0"/>
                <w:sz w:val="21"/>
                <w:szCs w:val="21"/>
              </w:rPr>
            </w:pPr>
            <w:r>
              <w:rPr>
                <w:rFonts w:eastAsia="仿宋_GB2312"/>
                <w:color w:val="000000"/>
                <w:spacing w:val="-11"/>
                <w:kern w:val="0"/>
                <w:sz w:val="21"/>
                <w:szCs w:val="21"/>
              </w:rPr>
              <w:t>年初预算数</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spacing w:val="-11"/>
                <w:kern w:val="0"/>
                <w:sz w:val="21"/>
                <w:szCs w:val="21"/>
              </w:rPr>
              <w:t>全年预算数</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eastAsia="仿宋_GB2312"/>
                <w:szCs w:val="21"/>
              </w:rPr>
            </w:pPr>
            <w:r>
              <w:rPr>
                <w:rFonts w:eastAsia="仿宋_GB2312"/>
                <w:spacing w:val="-23"/>
                <w:sz w:val="21"/>
                <w:szCs w:val="21"/>
              </w:rPr>
              <w:t>全年执行数</w:t>
            </w:r>
          </w:p>
        </w:tc>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eastAsia="仿宋_GB2312"/>
                <w:szCs w:val="21"/>
              </w:rPr>
            </w:pPr>
            <w:r>
              <w:rPr>
                <w:rFonts w:eastAsia="仿宋_GB2312"/>
                <w:szCs w:val="21"/>
              </w:rPr>
              <w:t>分值</w:t>
            </w:r>
          </w:p>
        </w:tc>
        <w:tc>
          <w:tcPr>
            <w:tcW w:w="87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eastAsia="仿宋_GB2312"/>
                <w:szCs w:val="21"/>
              </w:rPr>
            </w:pPr>
            <w:r>
              <w:rPr>
                <w:rFonts w:eastAsia="仿宋_GB2312"/>
                <w:szCs w:val="21"/>
              </w:rPr>
              <w:t>执行率</w:t>
            </w: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jc w:val="center"/>
              <w:textAlignment w:val="auto"/>
              <w:rPr>
                <w:rFonts w:eastAsia="仿宋_GB2312"/>
                <w:szCs w:val="21"/>
              </w:rPr>
            </w:pPr>
            <w:r>
              <w:rPr>
                <w:rFonts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c>
          <w:tcPr>
            <w:tcW w:w="190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年度资金总额　</w:t>
            </w:r>
          </w:p>
        </w:tc>
        <w:tc>
          <w:tcPr>
            <w:tcW w:w="15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hint="eastAsia" w:eastAsia="仿宋_GB2312"/>
                <w:color w:val="000000"/>
                <w:kern w:val="0"/>
                <w:szCs w:val="21"/>
                <w:lang w:val="en-US" w:eastAsia="zh-CN"/>
              </w:rPr>
              <w:t>1306.53</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hint="eastAsia" w:eastAsia="仿宋_GB2312"/>
                <w:color w:val="000000"/>
                <w:kern w:val="0"/>
                <w:szCs w:val="21"/>
                <w:lang w:val="en-US" w:eastAsia="zh-CN"/>
              </w:rPr>
              <w:t>1306.53</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hint="eastAsia" w:eastAsia="仿宋_GB2312"/>
                <w:color w:val="000000"/>
                <w:kern w:val="0"/>
                <w:szCs w:val="21"/>
                <w:lang w:val="en-US" w:eastAsia="zh-CN"/>
              </w:rPr>
              <w:t>1306.53</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eastAsia="仿宋_GB2312"/>
                <w:color w:val="000000"/>
                <w:kern w:val="0"/>
                <w:szCs w:val="21"/>
                <w:lang w:val="en-US" w:eastAsia="zh-CN"/>
              </w:rPr>
            </w:pPr>
            <w:r>
              <w:rPr>
                <w:rFonts w:hint="eastAsia" w:eastAsia="仿宋_GB2312"/>
                <w:color w:val="000000"/>
                <w:kern w:val="0"/>
                <w:szCs w:val="21"/>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eastAsia="仿宋_GB2312"/>
                <w:color w:val="000000"/>
                <w:kern w:val="0"/>
                <w:szCs w:val="21"/>
                <w:lang w:val="en-US" w:eastAsia="zh-CN"/>
              </w:rPr>
            </w:pPr>
            <w:r>
              <w:rPr>
                <w:rFonts w:hint="eastAsia" w:eastAsia="仿宋_GB2312"/>
                <w:color w:val="000000"/>
                <w:kern w:val="0"/>
                <w:szCs w:val="21"/>
                <w:lang w:val="en-US" w:eastAsia="zh-CN"/>
              </w:rPr>
              <w:t>100%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eastAsia="仿宋_GB2312"/>
                <w:color w:val="000000"/>
                <w:kern w:val="0"/>
                <w:szCs w:val="21"/>
                <w:lang w:val="en-US" w:eastAsia="zh-CN"/>
              </w:rPr>
            </w:pPr>
            <w:r>
              <w:rPr>
                <w:rFonts w:hint="eastAsia" w:eastAsia="仿宋_GB2312"/>
                <w:color w:val="000000"/>
                <w:kern w:val="0"/>
                <w:szCs w:val="21"/>
                <w:lang w:val="en-US" w:eastAsia="zh-CN"/>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c>
          <w:tcPr>
            <w:tcW w:w="190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其中：当年财政拨款　</w:t>
            </w:r>
          </w:p>
        </w:tc>
        <w:tc>
          <w:tcPr>
            <w:tcW w:w="15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eastAsia="仿宋_GB2312"/>
                <w:color w:val="000000"/>
                <w:kern w:val="0"/>
                <w:szCs w:val="21"/>
                <w:lang w:val="en-US" w:eastAsia="zh-CN"/>
              </w:rPr>
            </w:pPr>
            <w:r>
              <w:rPr>
                <w:rFonts w:hint="eastAsia" w:eastAsia="仿宋_GB2312"/>
                <w:color w:val="000000"/>
                <w:kern w:val="0"/>
                <w:szCs w:val="21"/>
                <w:lang w:val="en-US" w:eastAsia="zh-CN"/>
              </w:rPr>
              <w:t>1301.73</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eastAsia="仿宋_GB2312"/>
                <w:color w:val="000000"/>
                <w:kern w:val="0"/>
                <w:szCs w:val="21"/>
                <w:lang w:val="en-US" w:eastAsia="zh-CN"/>
              </w:rPr>
            </w:pPr>
            <w:r>
              <w:rPr>
                <w:rFonts w:hint="eastAsia" w:eastAsia="仿宋_GB2312"/>
                <w:color w:val="000000"/>
                <w:kern w:val="0"/>
                <w:szCs w:val="21"/>
                <w:lang w:val="en-US" w:eastAsia="zh-CN"/>
              </w:rPr>
              <w:t>1301.73</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hint="eastAsia" w:eastAsia="仿宋_GB2312"/>
                <w:color w:val="000000"/>
                <w:kern w:val="0"/>
                <w:szCs w:val="21"/>
                <w:lang w:val="en-US" w:eastAsia="zh-CN"/>
              </w:rPr>
              <w:t>1301.73</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eastAsia="仿宋_GB2312"/>
                <w:color w:val="000000"/>
                <w:kern w:val="0"/>
                <w:szCs w:val="21"/>
                <w:lang w:val="en-US" w:eastAsia="zh-CN"/>
              </w:rPr>
            </w:pPr>
            <w:r>
              <w:rPr>
                <w:rFonts w:hint="eastAsia" w:eastAsia="仿宋_GB2312"/>
                <w:color w:val="000000"/>
                <w:kern w:val="0"/>
                <w:szCs w:val="21"/>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eastAsia="仿宋_GB2312"/>
                <w:color w:val="000000"/>
                <w:kern w:val="0"/>
                <w:szCs w:val="21"/>
                <w:lang w:val="en-US" w:eastAsia="zh-CN"/>
              </w:rPr>
            </w:pPr>
            <w:r>
              <w:rPr>
                <w:rFonts w:hint="eastAsia" w:eastAsia="仿宋_GB2312"/>
                <w:color w:val="000000"/>
                <w:kern w:val="0"/>
                <w:szCs w:val="21"/>
                <w:lang w:val="en-US" w:eastAsia="zh-CN"/>
              </w:rPr>
              <w:t>100%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eastAsia="仿宋_GB2312"/>
                <w:color w:val="000000"/>
                <w:kern w:val="0"/>
                <w:szCs w:val="21"/>
                <w:lang w:val="en-US" w:eastAsia="zh-CN"/>
              </w:rPr>
            </w:pPr>
            <w:r>
              <w:rPr>
                <w:rFonts w:hint="eastAsia" w:eastAsia="仿宋_GB2312"/>
                <w:color w:val="000000"/>
                <w:kern w:val="0"/>
                <w:szCs w:val="21"/>
                <w:lang w:val="en-US" w:eastAsia="zh-CN"/>
              </w:rPr>
              <w:t>5</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c>
          <w:tcPr>
            <w:tcW w:w="190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上年结转资金　</w:t>
            </w:r>
          </w:p>
        </w:tc>
        <w:tc>
          <w:tcPr>
            <w:tcW w:w="15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eastAsia="仿宋_GB2312"/>
                <w:color w:val="000000"/>
                <w:kern w:val="0"/>
                <w:szCs w:val="21"/>
                <w:lang w:val="en-US" w:eastAsia="zh-CN"/>
              </w:rPr>
            </w:pPr>
            <w:r>
              <w:rPr>
                <w:rFonts w:eastAsia="仿宋_GB2312"/>
                <w:color w:val="000000"/>
                <w:kern w:val="0"/>
                <w:szCs w:val="21"/>
              </w:rPr>
              <w:t>　</w:t>
            </w:r>
            <w:r>
              <w:rPr>
                <w:rFonts w:hint="eastAsia" w:eastAsia="仿宋_GB2312"/>
                <w:color w:val="000000"/>
                <w:kern w:val="0"/>
                <w:szCs w:val="21"/>
                <w:lang w:val="en-US" w:eastAsia="zh-CN"/>
              </w:rPr>
              <w:t>4.8</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eastAsia="仿宋_GB2312"/>
                <w:color w:val="000000"/>
                <w:kern w:val="0"/>
                <w:szCs w:val="21"/>
                <w:lang w:val="en-US" w:eastAsia="zh-CN"/>
              </w:rPr>
            </w:pPr>
            <w:r>
              <w:rPr>
                <w:rFonts w:eastAsia="仿宋_GB2312"/>
                <w:color w:val="000000"/>
                <w:kern w:val="0"/>
                <w:szCs w:val="21"/>
              </w:rPr>
              <w:t>　</w:t>
            </w:r>
            <w:r>
              <w:rPr>
                <w:rFonts w:hint="eastAsia" w:eastAsia="仿宋_GB2312"/>
                <w:color w:val="000000"/>
                <w:kern w:val="0"/>
                <w:szCs w:val="21"/>
                <w:lang w:val="en-US" w:eastAsia="zh-CN"/>
              </w:rPr>
              <w:t>4.8</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eastAsia="仿宋_GB2312"/>
                <w:color w:val="000000"/>
                <w:kern w:val="0"/>
                <w:szCs w:val="21"/>
                <w:lang w:val="en-US" w:eastAsia="zh-CN"/>
              </w:rPr>
            </w:pPr>
            <w:r>
              <w:rPr>
                <w:rFonts w:eastAsia="仿宋_GB2312"/>
                <w:color w:val="000000"/>
                <w:kern w:val="0"/>
                <w:szCs w:val="21"/>
              </w:rPr>
              <w:t>　</w:t>
            </w:r>
            <w:r>
              <w:rPr>
                <w:rFonts w:hint="eastAsia" w:eastAsia="仿宋_GB2312"/>
                <w:color w:val="000000"/>
                <w:kern w:val="0"/>
                <w:szCs w:val="21"/>
                <w:lang w:val="en-US" w:eastAsia="zh-CN"/>
              </w:rPr>
              <w:t>4.8</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eastAsia="仿宋_GB2312"/>
                <w:color w:val="000000"/>
                <w:kern w:val="0"/>
                <w:szCs w:val="21"/>
                <w:lang w:val="en-US" w:eastAsia="zh-CN"/>
              </w:rPr>
            </w:pPr>
            <w:r>
              <w:rPr>
                <w:rFonts w:hint="eastAsia" w:eastAsia="仿宋_GB2312"/>
                <w:color w:val="000000"/>
                <w:kern w:val="0"/>
                <w:szCs w:val="21"/>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eastAsia="仿宋_GB2312"/>
                <w:color w:val="000000"/>
                <w:kern w:val="0"/>
                <w:szCs w:val="21"/>
                <w:lang w:val="en-US" w:eastAsia="zh-CN"/>
              </w:rPr>
            </w:pPr>
            <w:r>
              <w:rPr>
                <w:rFonts w:hint="eastAsia" w:eastAsia="仿宋_GB2312"/>
                <w:color w:val="000000"/>
                <w:kern w:val="0"/>
                <w:szCs w:val="21"/>
                <w:lang w:val="en-US" w:eastAsia="zh-CN"/>
              </w:rPr>
              <w:t>100%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eastAsia="仿宋_GB2312"/>
                <w:color w:val="000000"/>
                <w:kern w:val="0"/>
                <w:szCs w:val="21"/>
                <w:lang w:val="en-US" w:eastAsia="zh-CN"/>
              </w:rPr>
            </w:pPr>
            <w:r>
              <w:rPr>
                <w:rFonts w:hint="eastAsia" w:eastAsia="仿宋_GB2312"/>
                <w:color w:val="000000"/>
                <w:kern w:val="0"/>
                <w:szCs w:val="21"/>
                <w:lang w:val="en-US" w:eastAsia="zh-CN"/>
              </w:rPr>
              <w:t>5</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c>
          <w:tcPr>
            <w:tcW w:w="190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其他资金</w:t>
            </w:r>
          </w:p>
        </w:tc>
        <w:tc>
          <w:tcPr>
            <w:tcW w:w="15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eastAsia="仿宋_GB2312"/>
                <w:color w:val="000000"/>
                <w:kern w:val="0"/>
                <w:szCs w:val="21"/>
                <w:lang w:val="en-US" w:eastAsia="zh-CN"/>
              </w:rPr>
            </w:pPr>
            <w:r>
              <w:rPr>
                <w:rFonts w:hint="eastAsia" w:eastAsia="仿宋_GB2312"/>
                <w:color w:val="000000"/>
                <w:kern w:val="0"/>
                <w:szCs w:val="21"/>
                <w:lang w:val="en-US" w:eastAsia="zh-CN"/>
              </w:rPr>
              <w:t>0</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eastAsia="仿宋_GB2312"/>
                <w:color w:val="000000"/>
                <w:kern w:val="0"/>
                <w:szCs w:val="21"/>
                <w:lang w:val="en-US" w:eastAsia="zh-CN"/>
              </w:rPr>
            </w:pPr>
            <w:r>
              <w:rPr>
                <w:rFonts w:hint="eastAsia" w:eastAsia="仿宋_GB2312"/>
                <w:color w:val="000000"/>
                <w:kern w:val="0"/>
                <w:szCs w:val="21"/>
                <w:lang w:val="en-US" w:eastAsia="zh-CN"/>
              </w:rPr>
              <w:t>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eastAsia="仿宋_GB2312"/>
                <w:color w:val="000000"/>
                <w:kern w:val="0"/>
                <w:szCs w:val="21"/>
                <w:lang w:val="en-US" w:eastAsia="zh-CN"/>
              </w:rPr>
            </w:pPr>
            <w:r>
              <w:rPr>
                <w:rFonts w:hint="eastAsia" w:eastAsia="仿宋_GB2312"/>
                <w:color w:val="000000"/>
                <w:kern w:val="0"/>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年度总</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体目标</w:t>
            </w:r>
          </w:p>
        </w:tc>
        <w:tc>
          <w:tcPr>
            <w:tcW w:w="461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预期目标</w:t>
            </w:r>
          </w:p>
        </w:tc>
        <w:tc>
          <w:tcPr>
            <w:tcW w:w="425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实际完成情况　</w:t>
            </w:r>
          </w:p>
        </w:tc>
      </w:tr>
      <w:tr>
        <w:tblPrEx>
          <w:tblCellMar>
            <w:top w:w="0" w:type="dxa"/>
            <w:left w:w="108" w:type="dxa"/>
            <w:bottom w:w="0" w:type="dxa"/>
            <w:right w:w="108" w:type="dxa"/>
          </w:tblCellMar>
        </w:tblPrEx>
        <w:trPr>
          <w:trHeight w:val="715" w:hRule="atLeast"/>
          <w:jc w:val="center"/>
        </w:trPr>
        <w:tc>
          <w:tcPr>
            <w:tcW w:w="11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c>
          <w:tcPr>
            <w:tcW w:w="461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hint="eastAsia" w:ascii="原版宋体" w:hAnsi="原版宋体" w:cs="Times New Roman"/>
                <w:sz w:val="18"/>
                <w:szCs w:val="18"/>
                <w:lang w:val="en-US" w:eastAsia="zh-CN"/>
              </w:rPr>
              <w:t>100</w:t>
            </w:r>
            <w:r>
              <w:rPr>
                <w:rFonts w:hint="default" w:ascii="原版宋体" w:hAnsi="原版宋体" w:cs="Times New Roman"/>
                <w:sz w:val="18"/>
                <w:szCs w:val="18"/>
                <w:lang w:val="en-US" w:eastAsia="zh-CN"/>
              </w:rPr>
              <w:t>　</w:t>
            </w:r>
            <w:r>
              <w:rPr>
                <w:rFonts w:eastAsia="仿宋_GB2312"/>
                <w:color w:val="000000"/>
                <w:kern w:val="0"/>
                <w:szCs w:val="21"/>
              </w:rPr>
              <w:t>　　</w:t>
            </w:r>
          </w:p>
        </w:tc>
        <w:tc>
          <w:tcPr>
            <w:tcW w:w="425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hint="eastAsia" w:ascii="原版宋体" w:hAnsi="原版宋体" w:cs="Times New Roman"/>
                <w:sz w:val="18"/>
                <w:szCs w:val="18"/>
                <w:lang w:val="en-US" w:eastAsia="zh-CN"/>
              </w:rPr>
              <w:t>100</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绩</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效</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指</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标</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一级指标</w:t>
            </w:r>
          </w:p>
        </w:tc>
        <w:tc>
          <w:tcPr>
            <w:tcW w:w="9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二级指标</w:t>
            </w:r>
          </w:p>
        </w:tc>
        <w:tc>
          <w:tcPr>
            <w:tcW w:w="15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三级指标</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年度</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指标值</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实际</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完成值</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分值</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得分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偏差原因</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分析及</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产出</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指标</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(50分)</w:t>
            </w:r>
          </w:p>
        </w:tc>
        <w:tc>
          <w:tcPr>
            <w:tcW w:w="90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数量指标</w:t>
            </w:r>
          </w:p>
        </w:tc>
        <w:tc>
          <w:tcPr>
            <w:tcW w:w="1507"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jc w:val="left"/>
              <w:rPr>
                <w:rFonts w:hint="default" w:ascii="原版宋体" w:hAnsi="原版宋体" w:eastAsia="仿宋_GB2312" w:cs="Times New Roman"/>
                <w:color w:val="000000"/>
                <w:kern w:val="0"/>
                <w:sz w:val="18"/>
                <w:szCs w:val="18"/>
                <w:lang w:val="en-US" w:eastAsia="zh-CN" w:bidi="ar-SA"/>
              </w:rPr>
            </w:pPr>
            <w:r>
              <w:rPr>
                <w:rFonts w:hint="eastAsia" w:ascii="原版宋体" w:hAnsi="原版宋体" w:eastAsia="仿宋_GB2312" w:cs="Times New Roman"/>
                <w:color w:val="000000"/>
                <w:kern w:val="0"/>
                <w:sz w:val="18"/>
                <w:szCs w:val="18"/>
                <w:lang w:val="en-US" w:eastAsia="zh-CN"/>
              </w:rPr>
              <w:t>1.居民电子健康档案建档率</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原版宋体" w:hAnsi="原版宋体" w:eastAsia="仿宋_GB2312" w:cs="Times New Roman"/>
                <w:color w:val="000000"/>
                <w:kern w:val="0"/>
                <w:sz w:val="18"/>
                <w:szCs w:val="18"/>
                <w:lang w:val="en-US" w:eastAsia="zh-CN" w:bidi="ar-SA"/>
              </w:rPr>
            </w:pPr>
            <w:r>
              <w:rPr>
                <w:rFonts w:hint="default" w:ascii="原版宋体" w:hAnsi="原版宋体" w:eastAsia="仿宋_GB2312" w:cs="Times New Roman"/>
                <w:color w:val="000000"/>
                <w:kern w:val="0"/>
                <w:sz w:val="18"/>
                <w:szCs w:val="18"/>
                <w:lang w:val="en-US" w:eastAsia="zh-CN"/>
              </w:rPr>
              <w:t>≥</w:t>
            </w:r>
            <w:r>
              <w:rPr>
                <w:rFonts w:hint="eastAsia" w:ascii="原版宋体" w:hAnsi="原版宋体" w:eastAsia="仿宋_GB2312" w:cs="Times New Roman"/>
                <w:color w:val="000000"/>
                <w:kern w:val="0"/>
                <w:sz w:val="18"/>
                <w:szCs w:val="18"/>
                <w:lang w:val="en-US" w:eastAsia="zh-CN"/>
              </w:rPr>
              <w:t>90%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原版宋体" w:hAnsi="原版宋体" w:eastAsia="仿宋_GB2312" w:cs="Times New Roman"/>
                <w:color w:val="000000"/>
                <w:kern w:val="0"/>
                <w:sz w:val="18"/>
                <w:szCs w:val="18"/>
                <w:lang w:val="en-US" w:eastAsia="zh-CN" w:bidi="ar-SA"/>
              </w:rPr>
            </w:pPr>
            <w:r>
              <w:rPr>
                <w:rFonts w:hint="eastAsia" w:ascii="原版宋体" w:hAnsi="原版宋体" w:eastAsia="仿宋_GB2312" w:cs="Times New Roman"/>
                <w:color w:val="000000"/>
                <w:kern w:val="0"/>
                <w:sz w:val="18"/>
                <w:szCs w:val="18"/>
                <w:lang w:val="en-US" w:eastAsia="zh-CN"/>
              </w:rPr>
              <w:t>96.96%</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eastAsia="仿宋_GB2312"/>
                <w:color w:val="000000"/>
                <w:kern w:val="0"/>
                <w:szCs w:val="21"/>
                <w:lang w:val="en-US" w:eastAsia="zh-CN"/>
              </w:rPr>
            </w:pPr>
            <w:r>
              <w:rPr>
                <w:rFonts w:eastAsia="仿宋_GB2312"/>
                <w:color w:val="000000"/>
                <w:kern w:val="0"/>
                <w:szCs w:val="21"/>
              </w:rPr>
              <w:t>　</w:t>
            </w:r>
            <w:r>
              <w:rPr>
                <w:rFonts w:hint="eastAsia" w:eastAsia="仿宋_GB2312"/>
                <w:color w:val="000000"/>
                <w:kern w:val="0"/>
                <w:szCs w:val="21"/>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Times New Roman" w:hAnsi="Times New Roman" w:eastAsia="仿宋_GB2312" w:cs="Times New Roman"/>
                <w:color w:val="000000"/>
                <w:kern w:val="0"/>
                <w:sz w:val="21"/>
                <w:szCs w:val="21"/>
                <w:lang w:val="en-US" w:eastAsia="zh-CN" w:bidi="ar-SA"/>
              </w:rPr>
            </w:pPr>
            <w:r>
              <w:rPr>
                <w:rFonts w:eastAsia="仿宋_GB2312"/>
                <w:color w:val="000000"/>
                <w:kern w:val="0"/>
                <w:szCs w:val="21"/>
              </w:rPr>
              <w:t>　</w:t>
            </w:r>
            <w:r>
              <w:rPr>
                <w:rFonts w:hint="eastAsia" w:eastAsia="仿宋_GB2312"/>
                <w:color w:val="000000"/>
                <w:kern w:val="0"/>
                <w:szCs w:val="21"/>
                <w:lang w:val="en-US" w:eastAsia="zh-CN"/>
              </w:rPr>
              <w:t>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c>
          <w:tcPr>
            <w:tcW w:w="9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1507"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jc w:val="left"/>
              <w:rPr>
                <w:rFonts w:hint="default" w:ascii="原版宋体" w:hAnsi="原版宋体" w:eastAsia="仿宋_GB2312" w:cs="Times New Roman"/>
                <w:color w:val="000000"/>
                <w:kern w:val="0"/>
                <w:sz w:val="18"/>
                <w:szCs w:val="18"/>
                <w:lang w:val="en-US" w:eastAsia="zh-CN" w:bidi="ar-SA"/>
              </w:rPr>
            </w:pPr>
            <w:r>
              <w:rPr>
                <w:rFonts w:hint="eastAsia" w:ascii="原版宋体" w:hAnsi="原版宋体" w:eastAsia="仿宋_GB2312" w:cs="Times New Roman"/>
                <w:color w:val="000000"/>
                <w:kern w:val="0"/>
                <w:sz w:val="18"/>
                <w:szCs w:val="18"/>
                <w:lang w:val="en-US" w:eastAsia="zh-CN"/>
              </w:rPr>
              <w:t>2.适龄儿童国家免疫规划疫苗接种率</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原版宋体" w:hAnsi="原版宋体" w:eastAsia="仿宋_GB2312" w:cs="Times New Roman"/>
                <w:color w:val="000000"/>
                <w:kern w:val="0"/>
                <w:sz w:val="18"/>
                <w:szCs w:val="18"/>
                <w:lang w:val="en-US" w:eastAsia="zh-CN" w:bidi="ar-SA"/>
              </w:rPr>
            </w:pPr>
            <w:r>
              <w:rPr>
                <w:rFonts w:hint="default" w:ascii="原版宋体" w:hAnsi="原版宋体" w:eastAsia="仿宋_GB2312" w:cs="Times New Roman"/>
                <w:color w:val="000000"/>
                <w:kern w:val="0"/>
                <w:sz w:val="18"/>
                <w:szCs w:val="18"/>
                <w:lang w:val="en-US" w:eastAsia="zh-CN"/>
              </w:rPr>
              <w:t>≥</w:t>
            </w:r>
            <w:r>
              <w:rPr>
                <w:rFonts w:hint="eastAsia" w:ascii="原版宋体" w:hAnsi="原版宋体" w:eastAsia="仿宋_GB2312" w:cs="Times New Roman"/>
                <w:color w:val="000000"/>
                <w:kern w:val="0"/>
                <w:sz w:val="18"/>
                <w:szCs w:val="18"/>
                <w:lang w:val="en-US" w:eastAsia="zh-CN"/>
              </w:rPr>
              <w:t>90%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原版宋体" w:hAnsi="原版宋体" w:eastAsia="仿宋_GB2312" w:cs="Times New Roman"/>
                <w:color w:val="000000"/>
                <w:kern w:val="0"/>
                <w:sz w:val="18"/>
                <w:szCs w:val="18"/>
                <w:lang w:val="en-US" w:eastAsia="zh-CN" w:bidi="ar-SA"/>
              </w:rPr>
            </w:pPr>
            <w:r>
              <w:rPr>
                <w:rFonts w:hint="eastAsia" w:ascii="原版宋体" w:hAnsi="原版宋体" w:eastAsia="仿宋_GB2312" w:cs="Times New Roman"/>
                <w:color w:val="000000"/>
                <w:kern w:val="0"/>
                <w:sz w:val="18"/>
                <w:szCs w:val="18"/>
                <w:lang w:val="en-US" w:eastAsia="zh-CN"/>
              </w:rPr>
              <w:t>95.93%</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eastAsia="仿宋_GB2312"/>
                <w:color w:val="000000"/>
                <w:kern w:val="0"/>
                <w:szCs w:val="21"/>
                <w:lang w:val="en-US" w:eastAsia="zh-CN"/>
              </w:rPr>
            </w:pPr>
            <w:r>
              <w:rPr>
                <w:rFonts w:eastAsia="仿宋_GB2312"/>
                <w:color w:val="000000"/>
                <w:kern w:val="0"/>
                <w:szCs w:val="21"/>
              </w:rPr>
              <w:t>　</w:t>
            </w:r>
            <w:r>
              <w:rPr>
                <w:rFonts w:hint="eastAsia" w:eastAsia="仿宋_GB2312"/>
                <w:color w:val="000000"/>
                <w:kern w:val="0"/>
                <w:szCs w:val="21"/>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Times New Roman" w:hAnsi="Times New Roman" w:eastAsia="仿宋_GB2312" w:cs="Times New Roman"/>
                <w:color w:val="000000"/>
                <w:kern w:val="0"/>
                <w:sz w:val="21"/>
                <w:szCs w:val="21"/>
                <w:lang w:val="en-US" w:eastAsia="zh-CN" w:bidi="ar-SA"/>
              </w:rPr>
            </w:pPr>
            <w:r>
              <w:rPr>
                <w:rFonts w:eastAsia="仿宋_GB2312"/>
                <w:color w:val="000000"/>
                <w:kern w:val="0"/>
                <w:szCs w:val="21"/>
              </w:rPr>
              <w:t>　</w:t>
            </w:r>
            <w:r>
              <w:rPr>
                <w:rFonts w:hint="eastAsia" w:eastAsia="仿宋_GB2312"/>
                <w:color w:val="000000"/>
                <w:kern w:val="0"/>
                <w:szCs w:val="21"/>
                <w:lang w:val="en-US" w:eastAsia="zh-CN"/>
              </w:rPr>
              <w:t>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c>
          <w:tcPr>
            <w:tcW w:w="9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1507"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jc w:val="left"/>
              <w:rPr>
                <w:rFonts w:hint="default" w:ascii="原版宋体" w:hAnsi="原版宋体" w:eastAsia="仿宋_GB2312" w:cs="Times New Roman"/>
                <w:color w:val="000000"/>
                <w:kern w:val="0"/>
                <w:sz w:val="18"/>
                <w:szCs w:val="18"/>
                <w:lang w:val="en-US" w:eastAsia="zh-CN" w:bidi="ar-SA"/>
              </w:rPr>
            </w:pPr>
            <w:r>
              <w:rPr>
                <w:rFonts w:hint="eastAsia" w:ascii="原版宋体" w:hAnsi="原版宋体" w:eastAsia="仿宋_GB2312" w:cs="Times New Roman"/>
                <w:color w:val="000000"/>
                <w:kern w:val="0"/>
                <w:sz w:val="18"/>
                <w:szCs w:val="18"/>
                <w:lang w:val="en-US" w:eastAsia="zh-CN"/>
              </w:rPr>
              <w:t>3.0-6岁儿童健康管理率</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原版宋体" w:hAnsi="原版宋体" w:eastAsia="仿宋_GB2312" w:cs="Times New Roman"/>
                <w:color w:val="000000"/>
                <w:kern w:val="0"/>
                <w:sz w:val="18"/>
                <w:szCs w:val="18"/>
                <w:lang w:val="en-US" w:eastAsia="zh-CN" w:bidi="ar-SA"/>
              </w:rPr>
            </w:pPr>
            <w:r>
              <w:rPr>
                <w:rFonts w:hint="default" w:ascii="原版宋体" w:hAnsi="原版宋体" w:eastAsia="仿宋_GB2312" w:cs="Times New Roman"/>
                <w:color w:val="000000"/>
                <w:kern w:val="0"/>
                <w:sz w:val="18"/>
                <w:szCs w:val="18"/>
                <w:lang w:val="en-US" w:eastAsia="zh-CN"/>
              </w:rPr>
              <w:t>≥</w:t>
            </w:r>
            <w:r>
              <w:rPr>
                <w:rFonts w:hint="eastAsia" w:ascii="原版宋体" w:hAnsi="原版宋体" w:eastAsia="仿宋_GB2312" w:cs="Times New Roman"/>
                <w:color w:val="000000"/>
                <w:kern w:val="0"/>
                <w:sz w:val="18"/>
                <w:szCs w:val="18"/>
                <w:lang w:val="en-US" w:eastAsia="zh-CN"/>
              </w:rPr>
              <w:t>90%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原版宋体" w:hAnsi="原版宋体" w:eastAsia="仿宋_GB2312" w:cs="Times New Roman"/>
                <w:color w:val="000000"/>
                <w:kern w:val="0"/>
                <w:sz w:val="18"/>
                <w:szCs w:val="18"/>
                <w:lang w:val="en-US" w:eastAsia="zh-CN" w:bidi="ar-SA"/>
              </w:rPr>
            </w:pPr>
            <w:r>
              <w:rPr>
                <w:rFonts w:hint="eastAsia" w:ascii="原版宋体" w:hAnsi="原版宋体" w:eastAsia="仿宋_GB2312" w:cs="Times New Roman"/>
                <w:color w:val="000000"/>
                <w:kern w:val="0"/>
                <w:sz w:val="18"/>
                <w:szCs w:val="18"/>
                <w:lang w:val="en-US" w:eastAsia="zh-CN"/>
              </w:rPr>
              <w:t>93.17%</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eastAsia="仿宋_GB2312"/>
                <w:color w:val="000000"/>
                <w:kern w:val="0"/>
                <w:szCs w:val="21"/>
                <w:lang w:val="en-US" w:eastAsia="zh-CN"/>
              </w:rPr>
            </w:pPr>
            <w:r>
              <w:rPr>
                <w:rFonts w:hint="eastAsia" w:eastAsia="仿宋_GB2312"/>
                <w:color w:val="000000"/>
                <w:kern w:val="0"/>
                <w:szCs w:val="21"/>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Cs w:val="21"/>
                <w:lang w:val="en-US" w:eastAsia="zh-CN"/>
              </w:rPr>
              <w:t>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c>
          <w:tcPr>
            <w:tcW w:w="9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1507"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jc w:val="left"/>
              <w:rPr>
                <w:rFonts w:hint="default" w:ascii="原版宋体" w:hAnsi="原版宋体" w:eastAsia="仿宋_GB2312" w:cs="Times New Roman"/>
                <w:color w:val="000000"/>
                <w:kern w:val="0"/>
                <w:sz w:val="18"/>
                <w:szCs w:val="18"/>
                <w:lang w:val="en-US" w:eastAsia="zh-CN" w:bidi="ar-SA"/>
              </w:rPr>
            </w:pPr>
            <w:r>
              <w:rPr>
                <w:rFonts w:hint="eastAsia" w:ascii="原版宋体" w:hAnsi="原版宋体" w:eastAsia="仿宋_GB2312" w:cs="Times New Roman"/>
                <w:color w:val="000000"/>
                <w:kern w:val="0"/>
                <w:sz w:val="18"/>
                <w:szCs w:val="18"/>
                <w:lang w:val="en-US" w:eastAsia="zh-CN"/>
              </w:rPr>
              <w:t>4.0-6岁儿童眼保健操和视力筛查覆盖率</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原版宋体" w:hAnsi="原版宋体" w:eastAsia="仿宋_GB2312" w:cs="Times New Roman"/>
                <w:color w:val="000000"/>
                <w:kern w:val="0"/>
                <w:sz w:val="18"/>
                <w:szCs w:val="18"/>
                <w:lang w:val="en-US" w:eastAsia="zh-CN" w:bidi="ar-SA"/>
              </w:rPr>
            </w:pPr>
            <w:r>
              <w:rPr>
                <w:rFonts w:hint="default" w:ascii="原版宋体" w:hAnsi="原版宋体" w:eastAsia="仿宋_GB2312" w:cs="Times New Roman"/>
                <w:color w:val="000000"/>
                <w:kern w:val="0"/>
                <w:sz w:val="18"/>
                <w:szCs w:val="18"/>
                <w:lang w:val="en-US" w:eastAsia="zh-CN"/>
              </w:rPr>
              <w:t>≥</w:t>
            </w:r>
            <w:r>
              <w:rPr>
                <w:rFonts w:hint="eastAsia" w:ascii="原版宋体" w:hAnsi="原版宋体" w:eastAsia="仿宋_GB2312" w:cs="Times New Roman"/>
                <w:color w:val="000000"/>
                <w:kern w:val="0"/>
                <w:sz w:val="18"/>
                <w:szCs w:val="18"/>
                <w:lang w:val="en-US" w:eastAsia="zh-CN"/>
              </w:rPr>
              <w:t>90%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原版宋体" w:hAnsi="原版宋体" w:eastAsia="仿宋_GB2312" w:cs="Times New Roman"/>
                <w:color w:val="000000"/>
                <w:kern w:val="0"/>
                <w:sz w:val="18"/>
                <w:szCs w:val="18"/>
                <w:lang w:val="en-US" w:eastAsia="zh-CN" w:bidi="ar-SA"/>
              </w:rPr>
            </w:pPr>
            <w:r>
              <w:rPr>
                <w:rFonts w:hint="eastAsia" w:ascii="原版宋体" w:hAnsi="原版宋体" w:eastAsia="仿宋_GB2312" w:cs="Times New Roman"/>
                <w:color w:val="000000"/>
                <w:kern w:val="0"/>
                <w:sz w:val="18"/>
                <w:szCs w:val="18"/>
                <w:lang w:val="en-US" w:eastAsia="zh-CN"/>
              </w:rPr>
              <w:t>92.19%</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eastAsia="仿宋_GB2312"/>
                <w:color w:val="000000"/>
                <w:kern w:val="0"/>
                <w:szCs w:val="21"/>
                <w:lang w:val="en-US" w:eastAsia="zh-CN"/>
              </w:rPr>
            </w:pPr>
            <w:r>
              <w:rPr>
                <w:rFonts w:hint="eastAsia" w:eastAsia="仿宋_GB2312"/>
                <w:color w:val="000000"/>
                <w:kern w:val="0"/>
                <w:szCs w:val="21"/>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Cs w:val="21"/>
                <w:lang w:val="en-US" w:eastAsia="zh-CN"/>
              </w:rPr>
              <w:t>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c>
          <w:tcPr>
            <w:tcW w:w="9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1507"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jc w:val="left"/>
              <w:rPr>
                <w:rFonts w:hint="default" w:ascii="原版宋体" w:hAnsi="原版宋体" w:eastAsia="仿宋_GB2312" w:cs="Times New Roman"/>
                <w:color w:val="000000"/>
                <w:kern w:val="0"/>
                <w:sz w:val="18"/>
                <w:szCs w:val="18"/>
                <w:lang w:val="en-US" w:eastAsia="zh-CN" w:bidi="ar-SA"/>
              </w:rPr>
            </w:pPr>
            <w:r>
              <w:rPr>
                <w:rFonts w:hint="eastAsia" w:ascii="原版宋体" w:hAnsi="原版宋体" w:eastAsia="仿宋_GB2312" w:cs="Times New Roman"/>
                <w:color w:val="000000"/>
                <w:kern w:val="0"/>
                <w:sz w:val="18"/>
                <w:szCs w:val="18"/>
                <w:lang w:val="en-US" w:eastAsia="zh-CN"/>
              </w:rPr>
              <w:t>5.孕产妇系统管理率</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原版宋体" w:hAnsi="原版宋体" w:eastAsia="仿宋_GB2312" w:cs="Times New Roman"/>
                <w:color w:val="000000"/>
                <w:kern w:val="0"/>
                <w:sz w:val="18"/>
                <w:szCs w:val="18"/>
                <w:lang w:val="en-US" w:eastAsia="zh-CN" w:bidi="ar-SA"/>
              </w:rPr>
            </w:pPr>
            <w:r>
              <w:rPr>
                <w:rFonts w:hint="default" w:ascii="原版宋体" w:hAnsi="原版宋体" w:eastAsia="仿宋_GB2312" w:cs="Times New Roman"/>
                <w:color w:val="000000"/>
                <w:kern w:val="0"/>
                <w:sz w:val="18"/>
                <w:szCs w:val="18"/>
                <w:lang w:val="en-US" w:eastAsia="zh-CN"/>
              </w:rPr>
              <w:t>≥</w:t>
            </w:r>
            <w:r>
              <w:rPr>
                <w:rFonts w:hint="eastAsia" w:ascii="原版宋体" w:hAnsi="原版宋体" w:eastAsia="仿宋_GB2312" w:cs="Times New Roman"/>
                <w:color w:val="000000"/>
                <w:kern w:val="0"/>
                <w:sz w:val="18"/>
                <w:szCs w:val="18"/>
                <w:lang w:val="en-US" w:eastAsia="zh-CN"/>
              </w:rPr>
              <w:t>90%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原版宋体" w:hAnsi="原版宋体" w:eastAsia="仿宋_GB2312" w:cs="Times New Roman"/>
                <w:color w:val="000000"/>
                <w:kern w:val="0"/>
                <w:sz w:val="18"/>
                <w:szCs w:val="18"/>
                <w:lang w:val="en-US" w:eastAsia="zh-CN" w:bidi="ar-SA"/>
              </w:rPr>
            </w:pPr>
            <w:r>
              <w:rPr>
                <w:rFonts w:hint="eastAsia" w:ascii="原版宋体" w:hAnsi="原版宋体" w:eastAsia="仿宋_GB2312" w:cs="Times New Roman"/>
                <w:color w:val="000000"/>
                <w:kern w:val="0"/>
                <w:sz w:val="18"/>
                <w:szCs w:val="18"/>
                <w:lang w:val="en-US" w:eastAsia="zh-CN"/>
              </w:rPr>
              <w:t>96.27%</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eastAsia="仿宋_GB2312"/>
                <w:color w:val="000000"/>
                <w:kern w:val="0"/>
                <w:szCs w:val="21"/>
                <w:lang w:val="en-US" w:eastAsia="zh-CN"/>
              </w:rPr>
            </w:pPr>
            <w:r>
              <w:rPr>
                <w:rFonts w:hint="eastAsia" w:eastAsia="仿宋_GB2312"/>
                <w:color w:val="000000"/>
                <w:kern w:val="0"/>
                <w:szCs w:val="21"/>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Cs w:val="21"/>
                <w:lang w:val="en-US" w:eastAsia="zh-CN"/>
              </w:rPr>
              <w:t>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c>
          <w:tcPr>
            <w:tcW w:w="9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1507"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jc w:val="left"/>
              <w:rPr>
                <w:rFonts w:hint="default" w:ascii="原版宋体" w:hAnsi="原版宋体" w:eastAsia="仿宋_GB2312" w:cs="Times New Roman"/>
                <w:color w:val="000000"/>
                <w:kern w:val="0"/>
                <w:sz w:val="18"/>
                <w:szCs w:val="18"/>
                <w:lang w:val="en-US" w:eastAsia="zh-CN" w:bidi="ar-SA"/>
              </w:rPr>
            </w:pPr>
            <w:r>
              <w:rPr>
                <w:rFonts w:hint="eastAsia" w:ascii="原版宋体" w:hAnsi="原版宋体" w:eastAsia="仿宋_GB2312" w:cs="Times New Roman"/>
                <w:color w:val="000000"/>
                <w:kern w:val="0"/>
                <w:sz w:val="18"/>
                <w:szCs w:val="18"/>
                <w:lang w:val="en-US" w:eastAsia="zh-CN"/>
              </w:rPr>
              <w:t>6.老年人健康管理率</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原版宋体" w:hAnsi="原版宋体" w:eastAsia="仿宋_GB2312" w:cs="Times New Roman"/>
                <w:color w:val="000000"/>
                <w:kern w:val="0"/>
                <w:sz w:val="18"/>
                <w:szCs w:val="18"/>
                <w:lang w:val="en-US" w:eastAsia="zh-CN" w:bidi="ar-SA"/>
              </w:rPr>
            </w:pPr>
            <w:r>
              <w:rPr>
                <w:rFonts w:hint="default" w:ascii="原版宋体" w:hAnsi="原版宋体" w:eastAsia="仿宋_GB2312" w:cs="Times New Roman"/>
                <w:color w:val="000000"/>
                <w:kern w:val="0"/>
                <w:sz w:val="18"/>
                <w:szCs w:val="18"/>
                <w:lang w:val="en-US" w:eastAsia="zh-CN"/>
              </w:rPr>
              <w:t>≥</w:t>
            </w:r>
            <w:r>
              <w:rPr>
                <w:rFonts w:hint="eastAsia" w:ascii="原版宋体" w:hAnsi="原版宋体" w:eastAsia="仿宋_GB2312" w:cs="Times New Roman"/>
                <w:color w:val="000000"/>
                <w:kern w:val="0"/>
                <w:sz w:val="18"/>
                <w:szCs w:val="18"/>
                <w:lang w:val="en-US" w:eastAsia="zh-CN"/>
              </w:rPr>
              <w:t>61%</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原版宋体" w:hAnsi="原版宋体" w:eastAsia="仿宋_GB2312" w:cs="Times New Roman"/>
                <w:color w:val="000000"/>
                <w:kern w:val="0"/>
                <w:sz w:val="18"/>
                <w:szCs w:val="18"/>
                <w:lang w:val="en-US" w:eastAsia="zh-CN" w:bidi="ar-SA"/>
              </w:rPr>
            </w:pPr>
            <w:r>
              <w:rPr>
                <w:rFonts w:hint="eastAsia" w:ascii="原版宋体" w:hAnsi="原版宋体" w:eastAsia="仿宋_GB2312" w:cs="Times New Roman"/>
                <w:color w:val="000000"/>
                <w:kern w:val="0"/>
                <w:sz w:val="18"/>
                <w:szCs w:val="18"/>
                <w:lang w:val="en-US" w:eastAsia="zh-CN"/>
              </w:rPr>
              <w:t>66.39%</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eastAsia="仿宋_GB2312"/>
                <w:color w:val="000000"/>
                <w:kern w:val="0"/>
                <w:szCs w:val="21"/>
                <w:lang w:val="en-US" w:eastAsia="zh-CN"/>
              </w:rPr>
            </w:pPr>
            <w:r>
              <w:rPr>
                <w:rFonts w:hint="eastAsia" w:eastAsia="仿宋_GB2312"/>
                <w:color w:val="000000"/>
                <w:kern w:val="0"/>
                <w:szCs w:val="21"/>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Cs w:val="21"/>
                <w:lang w:val="en-US" w:eastAsia="zh-CN"/>
              </w:rPr>
              <w:t>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c>
          <w:tcPr>
            <w:tcW w:w="9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1507"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jc w:val="left"/>
              <w:rPr>
                <w:rFonts w:hint="default" w:ascii="原版宋体" w:hAnsi="原版宋体" w:eastAsia="仿宋_GB2312" w:cs="Times New Roman"/>
                <w:color w:val="000000"/>
                <w:kern w:val="0"/>
                <w:sz w:val="18"/>
                <w:szCs w:val="18"/>
                <w:lang w:val="en-US" w:eastAsia="zh-CN" w:bidi="ar-SA"/>
              </w:rPr>
            </w:pPr>
            <w:r>
              <w:rPr>
                <w:rFonts w:hint="eastAsia" w:ascii="原版宋体" w:hAnsi="原版宋体" w:eastAsia="仿宋_GB2312" w:cs="Times New Roman"/>
                <w:color w:val="000000"/>
                <w:kern w:val="0"/>
                <w:sz w:val="18"/>
                <w:szCs w:val="18"/>
                <w:lang w:val="en-US" w:eastAsia="zh-CN"/>
              </w:rPr>
              <w:t>7.高血压患者管理人数</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原版宋体" w:hAnsi="原版宋体" w:eastAsia="仿宋_GB2312" w:cs="Times New Roman"/>
                <w:color w:val="000000"/>
                <w:kern w:val="0"/>
                <w:sz w:val="18"/>
                <w:szCs w:val="18"/>
                <w:lang w:val="en-US" w:eastAsia="zh-CN" w:bidi="ar-SA"/>
              </w:rPr>
            </w:pPr>
            <w:r>
              <w:rPr>
                <w:rFonts w:hint="eastAsia" w:ascii="原版宋体" w:hAnsi="原版宋体" w:eastAsia="仿宋_GB2312" w:cs="Times New Roman"/>
                <w:color w:val="000000"/>
                <w:kern w:val="0"/>
                <w:sz w:val="18"/>
                <w:szCs w:val="18"/>
                <w:lang w:val="en-US" w:eastAsia="zh-CN"/>
              </w:rPr>
              <w:t>11217人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原版宋体" w:hAnsi="原版宋体" w:eastAsia="仿宋_GB2312" w:cs="Times New Roman"/>
                <w:color w:val="000000"/>
                <w:kern w:val="0"/>
                <w:sz w:val="18"/>
                <w:szCs w:val="18"/>
                <w:lang w:val="en-US" w:eastAsia="zh-CN" w:bidi="ar-SA"/>
              </w:rPr>
            </w:pPr>
            <w:r>
              <w:rPr>
                <w:rFonts w:hint="eastAsia" w:ascii="原版宋体" w:hAnsi="原版宋体" w:eastAsia="仿宋_GB2312" w:cs="Times New Roman"/>
                <w:color w:val="000000"/>
                <w:kern w:val="0"/>
                <w:sz w:val="18"/>
                <w:szCs w:val="18"/>
                <w:lang w:val="en-US" w:eastAsia="zh-CN"/>
              </w:rPr>
              <w:t>14466人</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eastAsia="仿宋_GB2312"/>
                <w:color w:val="000000"/>
                <w:kern w:val="0"/>
                <w:szCs w:val="21"/>
                <w:lang w:val="en-US" w:eastAsia="zh-CN"/>
              </w:rPr>
            </w:pPr>
            <w:r>
              <w:rPr>
                <w:rFonts w:hint="eastAsia" w:eastAsia="仿宋_GB2312"/>
                <w:color w:val="000000"/>
                <w:kern w:val="0"/>
                <w:szCs w:val="21"/>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Cs w:val="21"/>
                <w:lang w:val="en-US" w:eastAsia="zh-CN"/>
              </w:rPr>
              <w:t>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c>
          <w:tcPr>
            <w:tcW w:w="9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1507"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jc w:val="left"/>
              <w:rPr>
                <w:rFonts w:hint="default" w:ascii="原版宋体" w:hAnsi="原版宋体" w:eastAsia="仿宋_GB2312" w:cs="Times New Roman"/>
                <w:color w:val="000000"/>
                <w:kern w:val="0"/>
                <w:sz w:val="18"/>
                <w:szCs w:val="18"/>
                <w:lang w:val="en-US" w:eastAsia="zh-CN" w:bidi="ar-SA"/>
              </w:rPr>
            </w:pPr>
            <w:r>
              <w:rPr>
                <w:rFonts w:hint="eastAsia" w:ascii="原版宋体" w:hAnsi="原版宋体" w:eastAsia="仿宋_GB2312" w:cs="Times New Roman"/>
                <w:color w:val="000000"/>
                <w:kern w:val="0"/>
                <w:sz w:val="18"/>
                <w:szCs w:val="18"/>
                <w:lang w:val="en-US" w:eastAsia="zh-CN"/>
              </w:rPr>
              <w:t>8.2型糖尿病患者管理人数</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原版宋体" w:hAnsi="原版宋体" w:eastAsia="仿宋_GB2312" w:cs="Times New Roman"/>
                <w:color w:val="000000"/>
                <w:kern w:val="0"/>
                <w:sz w:val="18"/>
                <w:szCs w:val="18"/>
                <w:lang w:val="en-US" w:eastAsia="zh-CN" w:bidi="ar-SA"/>
              </w:rPr>
            </w:pPr>
            <w:r>
              <w:rPr>
                <w:rFonts w:hint="eastAsia" w:ascii="原版宋体" w:hAnsi="原版宋体" w:eastAsia="仿宋_GB2312" w:cs="Times New Roman"/>
                <w:color w:val="000000"/>
                <w:kern w:val="0"/>
                <w:sz w:val="18"/>
                <w:szCs w:val="18"/>
                <w:lang w:val="en-US" w:eastAsia="zh-CN"/>
              </w:rPr>
              <w:t>4000人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原版宋体" w:hAnsi="原版宋体" w:eastAsia="仿宋_GB2312" w:cs="Times New Roman"/>
                <w:color w:val="000000"/>
                <w:kern w:val="0"/>
                <w:sz w:val="18"/>
                <w:szCs w:val="18"/>
                <w:lang w:val="en-US" w:eastAsia="zh-CN" w:bidi="ar-SA"/>
              </w:rPr>
            </w:pPr>
            <w:r>
              <w:rPr>
                <w:rFonts w:hint="eastAsia" w:ascii="原版宋体" w:hAnsi="原版宋体" w:eastAsia="仿宋_GB2312" w:cs="Times New Roman"/>
                <w:color w:val="000000"/>
                <w:kern w:val="0"/>
                <w:sz w:val="18"/>
                <w:szCs w:val="18"/>
                <w:lang w:val="en-US" w:eastAsia="zh-CN"/>
              </w:rPr>
              <w:t>5199人</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eastAsia="仿宋_GB2312"/>
                <w:color w:val="000000"/>
                <w:kern w:val="0"/>
                <w:szCs w:val="21"/>
                <w:lang w:val="en-US" w:eastAsia="zh-CN"/>
              </w:rPr>
            </w:pPr>
            <w:r>
              <w:rPr>
                <w:rFonts w:hint="eastAsia" w:eastAsia="仿宋_GB2312"/>
                <w:color w:val="000000"/>
                <w:kern w:val="0"/>
                <w:szCs w:val="21"/>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Cs w:val="21"/>
                <w:lang w:val="en-US" w:eastAsia="zh-CN"/>
              </w:rPr>
              <w:t>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c>
          <w:tcPr>
            <w:tcW w:w="9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1507"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jc w:val="left"/>
              <w:rPr>
                <w:rFonts w:hint="default" w:ascii="原版宋体" w:hAnsi="原版宋体" w:eastAsia="仿宋_GB2312" w:cs="Times New Roman"/>
                <w:color w:val="000000"/>
                <w:kern w:val="0"/>
                <w:sz w:val="18"/>
                <w:szCs w:val="18"/>
                <w:lang w:val="en-US" w:eastAsia="zh-CN" w:bidi="ar-SA"/>
              </w:rPr>
            </w:pPr>
            <w:r>
              <w:rPr>
                <w:rFonts w:hint="eastAsia" w:ascii="原版宋体" w:hAnsi="原版宋体" w:eastAsia="仿宋_GB2312" w:cs="Times New Roman"/>
                <w:color w:val="000000"/>
                <w:kern w:val="0"/>
                <w:sz w:val="18"/>
                <w:szCs w:val="18"/>
                <w:lang w:val="en-US" w:eastAsia="zh-CN"/>
              </w:rPr>
              <w:t>9.老年人中医药健康管理率</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原版宋体" w:hAnsi="原版宋体" w:eastAsia="仿宋_GB2312" w:cs="Times New Roman"/>
                <w:color w:val="000000"/>
                <w:kern w:val="0"/>
                <w:sz w:val="18"/>
                <w:szCs w:val="18"/>
                <w:lang w:val="en-US" w:eastAsia="zh-CN" w:bidi="ar-SA"/>
              </w:rPr>
            </w:pPr>
            <w:r>
              <w:rPr>
                <w:rFonts w:hint="default" w:ascii="原版宋体" w:hAnsi="原版宋体" w:eastAsia="仿宋_GB2312" w:cs="Times New Roman"/>
                <w:color w:val="000000"/>
                <w:kern w:val="0"/>
                <w:sz w:val="18"/>
                <w:szCs w:val="18"/>
                <w:lang w:val="en-US" w:eastAsia="zh-CN"/>
              </w:rPr>
              <w:t>≥</w:t>
            </w:r>
            <w:r>
              <w:rPr>
                <w:rFonts w:hint="eastAsia" w:ascii="原版宋体" w:hAnsi="原版宋体" w:eastAsia="仿宋_GB2312" w:cs="Times New Roman"/>
                <w:color w:val="000000"/>
                <w:kern w:val="0"/>
                <w:sz w:val="18"/>
                <w:szCs w:val="18"/>
                <w:lang w:val="en-US" w:eastAsia="zh-CN"/>
              </w:rPr>
              <w:t>70%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原版宋体" w:hAnsi="原版宋体" w:eastAsia="仿宋_GB2312" w:cs="Times New Roman"/>
                <w:color w:val="000000"/>
                <w:kern w:val="0"/>
                <w:sz w:val="18"/>
                <w:szCs w:val="18"/>
                <w:lang w:val="en-US" w:eastAsia="zh-CN" w:bidi="ar-SA"/>
              </w:rPr>
            </w:pPr>
            <w:r>
              <w:rPr>
                <w:rFonts w:hint="eastAsia" w:ascii="原版宋体" w:hAnsi="原版宋体" w:eastAsia="仿宋_GB2312" w:cs="Times New Roman"/>
                <w:color w:val="000000"/>
                <w:kern w:val="0"/>
                <w:sz w:val="18"/>
                <w:szCs w:val="18"/>
                <w:lang w:val="en-US" w:eastAsia="zh-CN"/>
              </w:rPr>
              <w:t>75.81%</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eastAsia="仿宋_GB2312"/>
                <w:color w:val="000000"/>
                <w:kern w:val="0"/>
                <w:szCs w:val="21"/>
                <w:lang w:val="en-US" w:eastAsia="zh-CN"/>
              </w:rPr>
            </w:pPr>
            <w:r>
              <w:rPr>
                <w:rFonts w:hint="eastAsia" w:eastAsia="仿宋_GB2312"/>
                <w:color w:val="000000"/>
                <w:kern w:val="0"/>
                <w:szCs w:val="21"/>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Cs w:val="21"/>
                <w:lang w:val="en-US" w:eastAsia="zh-CN"/>
              </w:rPr>
              <w:t>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c>
          <w:tcPr>
            <w:tcW w:w="9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1507"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jc w:val="left"/>
              <w:rPr>
                <w:rFonts w:hint="default" w:ascii="原版宋体" w:hAnsi="原版宋体" w:eastAsia="仿宋_GB2312" w:cs="Times New Roman"/>
                <w:color w:val="000000"/>
                <w:kern w:val="0"/>
                <w:sz w:val="18"/>
                <w:szCs w:val="18"/>
                <w:lang w:val="en-US" w:eastAsia="zh-CN" w:bidi="ar-SA"/>
              </w:rPr>
            </w:pPr>
            <w:r>
              <w:rPr>
                <w:rFonts w:hint="eastAsia" w:ascii="原版宋体" w:hAnsi="原版宋体" w:eastAsia="仿宋_GB2312" w:cs="Times New Roman"/>
                <w:color w:val="000000"/>
                <w:kern w:val="0"/>
                <w:sz w:val="18"/>
                <w:szCs w:val="18"/>
                <w:lang w:val="en-US" w:eastAsia="zh-CN"/>
              </w:rPr>
              <w:t>10.儿童中医药健康管理率</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原版宋体" w:hAnsi="原版宋体" w:eastAsia="仿宋_GB2312" w:cs="Times New Roman"/>
                <w:color w:val="000000"/>
                <w:kern w:val="0"/>
                <w:sz w:val="18"/>
                <w:szCs w:val="18"/>
                <w:lang w:val="en-US" w:eastAsia="zh-CN" w:bidi="ar-SA"/>
              </w:rPr>
            </w:pPr>
            <w:r>
              <w:rPr>
                <w:rFonts w:hint="default" w:ascii="原版宋体" w:hAnsi="原版宋体" w:eastAsia="仿宋_GB2312" w:cs="Times New Roman"/>
                <w:color w:val="000000"/>
                <w:kern w:val="0"/>
                <w:sz w:val="18"/>
                <w:szCs w:val="18"/>
                <w:lang w:val="en-US" w:eastAsia="zh-CN"/>
              </w:rPr>
              <w:t>≥</w:t>
            </w:r>
            <w:r>
              <w:rPr>
                <w:rFonts w:hint="eastAsia" w:ascii="原版宋体" w:hAnsi="原版宋体" w:eastAsia="仿宋_GB2312" w:cs="Times New Roman"/>
                <w:color w:val="000000"/>
                <w:kern w:val="0"/>
                <w:sz w:val="18"/>
                <w:szCs w:val="18"/>
                <w:lang w:val="en-US" w:eastAsia="zh-CN"/>
              </w:rPr>
              <w:t>77%</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原版宋体" w:hAnsi="原版宋体" w:eastAsia="仿宋_GB2312" w:cs="Times New Roman"/>
                <w:color w:val="000000"/>
                <w:kern w:val="0"/>
                <w:sz w:val="18"/>
                <w:szCs w:val="18"/>
                <w:lang w:val="en-US" w:eastAsia="zh-CN" w:bidi="ar-SA"/>
              </w:rPr>
            </w:pPr>
            <w:r>
              <w:rPr>
                <w:rFonts w:hint="eastAsia" w:ascii="原版宋体" w:hAnsi="原版宋体" w:eastAsia="仿宋_GB2312" w:cs="Times New Roman"/>
                <w:color w:val="000000"/>
                <w:kern w:val="0"/>
                <w:sz w:val="18"/>
                <w:szCs w:val="18"/>
                <w:lang w:val="en-US" w:eastAsia="zh-CN"/>
              </w:rPr>
              <w:t>82.88%</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eastAsia="仿宋_GB2312"/>
                <w:color w:val="000000"/>
                <w:kern w:val="0"/>
                <w:szCs w:val="21"/>
                <w:lang w:val="en-US" w:eastAsia="zh-CN"/>
              </w:rPr>
            </w:pPr>
            <w:r>
              <w:rPr>
                <w:rFonts w:hint="eastAsia" w:eastAsia="仿宋_GB2312"/>
                <w:color w:val="000000"/>
                <w:kern w:val="0"/>
                <w:szCs w:val="21"/>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Cs w:val="21"/>
                <w:lang w:val="en-US" w:eastAsia="zh-CN"/>
              </w:rPr>
              <w:t>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c>
          <w:tcPr>
            <w:tcW w:w="90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质量指标</w:t>
            </w:r>
          </w:p>
        </w:tc>
        <w:tc>
          <w:tcPr>
            <w:tcW w:w="1507"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jc w:val="left"/>
              <w:rPr>
                <w:rFonts w:hint="default" w:ascii="原版宋体" w:hAnsi="原版宋体" w:eastAsia="仿宋_GB2312" w:cs="Times New Roman"/>
                <w:color w:val="000000"/>
                <w:kern w:val="0"/>
                <w:sz w:val="18"/>
                <w:szCs w:val="18"/>
                <w:lang w:val="en-US" w:eastAsia="zh-CN" w:bidi="ar-SA"/>
              </w:rPr>
            </w:pPr>
            <w:r>
              <w:rPr>
                <w:rFonts w:hint="eastAsia" w:ascii="原版宋体" w:hAnsi="原版宋体" w:eastAsia="仿宋_GB2312" w:cs="Times New Roman"/>
                <w:color w:val="000000"/>
                <w:kern w:val="0"/>
                <w:sz w:val="18"/>
                <w:szCs w:val="18"/>
                <w:lang w:val="en-US" w:eastAsia="zh-CN"/>
              </w:rPr>
              <w:t>1.高血压患者规范管理率</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原版宋体" w:hAnsi="原版宋体" w:eastAsia="仿宋_GB2312" w:cs="Times New Roman"/>
                <w:color w:val="000000"/>
                <w:kern w:val="0"/>
                <w:sz w:val="18"/>
                <w:szCs w:val="18"/>
                <w:lang w:val="en-US" w:eastAsia="zh-CN" w:bidi="ar-SA"/>
              </w:rPr>
            </w:pPr>
            <w:r>
              <w:rPr>
                <w:rFonts w:hint="default" w:ascii="原版宋体" w:hAnsi="原版宋体" w:eastAsia="仿宋_GB2312" w:cs="Times New Roman"/>
                <w:color w:val="000000"/>
                <w:kern w:val="0"/>
                <w:sz w:val="18"/>
                <w:szCs w:val="18"/>
                <w:lang w:val="en-US" w:eastAsia="zh-CN"/>
              </w:rPr>
              <w:t>≥</w:t>
            </w:r>
            <w:r>
              <w:rPr>
                <w:rFonts w:hint="eastAsia" w:ascii="原版宋体" w:hAnsi="原版宋体" w:eastAsia="仿宋_GB2312" w:cs="Times New Roman"/>
                <w:color w:val="000000"/>
                <w:kern w:val="0"/>
                <w:sz w:val="18"/>
                <w:szCs w:val="18"/>
                <w:lang w:val="en-US" w:eastAsia="zh-CN"/>
              </w:rPr>
              <w:t>61%</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原版宋体" w:hAnsi="原版宋体" w:eastAsia="仿宋_GB2312" w:cs="Times New Roman"/>
                <w:color w:val="000000"/>
                <w:kern w:val="0"/>
                <w:sz w:val="18"/>
                <w:szCs w:val="18"/>
                <w:lang w:val="en-US" w:eastAsia="zh-CN" w:bidi="ar-SA"/>
              </w:rPr>
            </w:pPr>
            <w:r>
              <w:rPr>
                <w:rFonts w:hint="eastAsia" w:ascii="原版宋体" w:hAnsi="原版宋体" w:eastAsia="仿宋_GB2312" w:cs="Times New Roman"/>
                <w:color w:val="000000"/>
                <w:kern w:val="0"/>
                <w:sz w:val="18"/>
                <w:szCs w:val="18"/>
                <w:lang w:val="en-US" w:eastAsia="zh-CN"/>
              </w:rPr>
              <w:t>66.67%</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eastAsia="仿宋_GB2312"/>
                <w:color w:val="000000"/>
                <w:kern w:val="0"/>
                <w:szCs w:val="21"/>
                <w:lang w:val="en-US" w:eastAsia="zh-CN"/>
              </w:rPr>
            </w:pPr>
            <w:r>
              <w:rPr>
                <w:rFonts w:eastAsia="仿宋_GB2312"/>
                <w:color w:val="000000"/>
                <w:kern w:val="0"/>
                <w:szCs w:val="21"/>
              </w:rPr>
              <w:t>　</w:t>
            </w:r>
            <w:r>
              <w:rPr>
                <w:rFonts w:hint="eastAsia" w:eastAsia="仿宋_GB2312"/>
                <w:color w:val="000000"/>
                <w:kern w:val="0"/>
                <w:szCs w:val="21"/>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Times New Roman" w:hAnsi="Times New Roman" w:eastAsia="仿宋_GB2312" w:cs="Times New Roman"/>
                <w:color w:val="000000"/>
                <w:kern w:val="0"/>
                <w:sz w:val="21"/>
                <w:szCs w:val="21"/>
                <w:lang w:val="en-US" w:eastAsia="zh-CN" w:bidi="ar-SA"/>
              </w:rPr>
            </w:pPr>
            <w:r>
              <w:rPr>
                <w:rFonts w:eastAsia="仿宋_GB2312"/>
                <w:color w:val="000000"/>
                <w:kern w:val="0"/>
                <w:szCs w:val="21"/>
              </w:rPr>
              <w:t>　</w:t>
            </w:r>
            <w:r>
              <w:rPr>
                <w:rFonts w:hint="eastAsia" w:eastAsia="仿宋_GB2312"/>
                <w:color w:val="000000"/>
                <w:kern w:val="0"/>
                <w:szCs w:val="21"/>
                <w:lang w:val="en-US" w:eastAsia="zh-CN"/>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c>
          <w:tcPr>
            <w:tcW w:w="9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1507"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jc w:val="left"/>
              <w:rPr>
                <w:rFonts w:hint="default" w:ascii="原版宋体" w:hAnsi="原版宋体" w:eastAsia="仿宋_GB2312" w:cs="Times New Roman"/>
                <w:color w:val="000000"/>
                <w:kern w:val="0"/>
                <w:sz w:val="18"/>
                <w:szCs w:val="18"/>
                <w:lang w:val="en-US" w:eastAsia="zh-CN" w:bidi="ar-SA"/>
              </w:rPr>
            </w:pPr>
            <w:r>
              <w:rPr>
                <w:rFonts w:hint="eastAsia" w:ascii="原版宋体" w:hAnsi="原版宋体" w:eastAsia="仿宋_GB2312" w:cs="Times New Roman"/>
                <w:color w:val="000000"/>
                <w:kern w:val="0"/>
                <w:sz w:val="18"/>
                <w:szCs w:val="18"/>
                <w:lang w:val="en-US" w:eastAsia="zh-CN"/>
              </w:rPr>
              <w:t>2.2型糖尿病患者规范管理率</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原版宋体" w:hAnsi="原版宋体" w:eastAsia="仿宋_GB2312" w:cs="Times New Roman"/>
                <w:color w:val="000000"/>
                <w:kern w:val="0"/>
                <w:sz w:val="18"/>
                <w:szCs w:val="18"/>
                <w:lang w:val="en-US" w:eastAsia="zh-CN" w:bidi="ar-SA"/>
              </w:rPr>
            </w:pPr>
            <w:r>
              <w:rPr>
                <w:rFonts w:hint="default" w:ascii="原版宋体" w:hAnsi="原版宋体" w:eastAsia="仿宋_GB2312" w:cs="Times New Roman"/>
                <w:color w:val="000000"/>
                <w:kern w:val="0"/>
                <w:sz w:val="18"/>
                <w:szCs w:val="18"/>
                <w:lang w:val="en-US" w:eastAsia="zh-CN"/>
              </w:rPr>
              <w:t>≥</w:t>
            </w:r>
            <w:r>
              <w:rPr>
                <w:rFonts w:hint="eastAsia" w:ascii="原版宋体" w:hAnsi="原版宋体" w:eastAsia="仿宋_GB2312" w:cs="Times New Roman"/>
                <w:color w:val="000000"/>
                <w:kern w:val="0"/>
                <w:sz w:val="18"/>
                <w:szCs w:val="18"/>
                <w:lang w:val="en-US" w:eastAsia="zh-CN"/>
              </w:rPr>
              <w:t>61%</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原版宋体" w:hAnsi="原版宋体" w:eastAsia="仿宋_GB2312" w:cs="Times New Roman"/>
                <w:color w:val="000000"/>
                <w:kern w:val="0"/>
                <w:sz w:val="18"/>
                <w:szCs w:val="18"/>
                <w:lang w:val="en-US" w:eastAsia="zh-CN" w:bidi="ar-SA"/>
              </w:rPr>
            </w:pPr>
            <w:r>
              <w:rPr>
                <w:rFonts w:hint="eastAsia" w:ascii="原版宋体" w:hAnsi="原版宋体" w:eastAsia="仿宋_GB2312" w:cs="Times New Roman"/>
                <w:color w:val="000000"/>
                <w:kern w:val="0"/>
                <w:sz w:val="18"/>
                <w:szCs w:val="18"/>
                <w:lang w:val="en-US" w:eastAsia="zh-CN"/>
              </w:rPr>
              <w:t>65.19%</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eastAsia="仿宋_GB2312"/>
                <w:color w:val="000000"/>
                <w:kern w:val="0"/>
                <w:szCs w:val="21"/>
                <w:lang w:val="en-US" w:eastAsia="zh-CN"/>
              </w:rPr>
            </w:pPr>
            <w:r>
              <w:rPr>
                <w:rFonts w:eastAsia="仿宋_GB2312"/>
                <w:color w:val="000000"/>
                <w:kern w:val="0"/>
                <w:szCs w:val="21"/>
              </w:rPr>
              <w:t>　</w:t>
            </w:r>
            <w:r>
              <w:rPr>
                <w:rFonts w:hint="eastAsia" w:eastAsia="仿宋_GB2312"/>
                <w:color w:val="000000"/>
                <w:kern w:val="0"/>
                <w:szCs w:val="21"/>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Times New Roman" w:hAnsi="Times New Roman" w:eastAsia="仿宋_GB2312" w:cs="Times New Roman"/>
                <w:color w:val="000000"/>
                <w:kern w:val="0"/>
                <w:sz w:val="21"/>
                <w:szCs w:val="21"/>
                <w:lang w:val="en-US" w:eastAsia="zh-CN" w:bidi="ar-SA"/>
              </w:rPr>
            </w:pPr>
            <w:r>
              <w:rPr>
                <w:rFonts w:eastAsia="仿宋_GB2312"/>
                <w:color w:val="000000"/>
                <w:kern w:val="0"/>
                <w:szCs w:val="21"/>
              </w:rPr>
              <w:t>　</w:t>
            </w:r>
            <w:r>
              <w:rPr>
                <w:rFonts w:hint="eastAsia" w:eastAsia="仿宋_GB2312"/>
                <w:color w:val="000000"/>
                <w:kern w:val="0"/>
                <w:szCs w:val="21"/>
                <w:lang w:val="en-US" w:eastAsia="zh-CN"/>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c>
          <w:tcPr>
            <w:tcW w:w="9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1507"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jc w:val="left"/>
              <w:rPr>
                <w:rFonts w:hint="default" w:ascii="原版宋体" w:hAnsi="原版宋体" w:eastAsia="仿宋_GB2312" w:cs="Times New Roman"/>
                <w:color w:val="000000"/>
                <w:kern w:val="0"/>
                <w:sz w:val="18"/>
                <w:szCs w:val="18"/>
                <w:lang w:val="en-US" w:eastAsia="zh-CN" w:bidi="ar-SA"/>
              </w:rPr>
            </w:pPr>
            <w:r>
              <w:rPr>
                <w:rFonts w:hint="eastAsia" w:ascii="原版宋体" w:hAnsi="原版宋体" w:eastAsia="仿宋_GB2312" w:cs="Times New Roman"/>
                <w:color w:val="000000"/>
                <w:kern w:val="0"/>
                <w:sz w:val="18"/>
                <w:szCs w:val="18"/>
                <w:lang w:val="en-US" w:eastAsia="zh-CN"/>
              </w:rPr>
              <w:t>3.严重精神障碍患者规范管理率</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原版宋体" w:hAnsi="原版宋体" w:eastAsia="仿宋_GB2312" w:cs="Times New Roman"/>
                <w:color w:val="000000"/>
                <w:kern w:val="0"/>
                <w:sz w:val="18"/>
                <w:szCs w:val="18"/>
                <w:lang w:val="en-US" w:eastAsia="zh-CN" w:bidi="ar-SA"/>
              </w:rPr>
            </w:pPr>
            <w:r>
              <w:rPr>
                <w:rFonts w:hint="default" w:ascii="原版宋体" w:hAnsi="原版宋体" w:eastAsia="仿宋_GB2312" w:cs="Times New Roman"/>
                <w:color w:val="000000"/>
                <w:kern w:val="0"/>
                <w:sz w:val="18"/>
                <w:szCs w:val="18"/>
                <w:lang w:val="en-US" w:eastAsia="zh-CN"/>
              </w:rPr>
              <w:t>≥</w:t>
            </w:r>
            <w:r>
              <w:rPr>
                <w:rFonts w:hint="eastAsia" w:ascii="原版宋体" w:hAnsi="原版宋体" w:eastAsia="仿宋_GB2312" w:cs="Times New Roman"/>
                <w:color w:val="000000"/>
                <w:kern w:val="0"/>
                <w:sz w:val="18"/>
                <w:szCs w:val="18"/>
                <w:lang w:val="en-US" w:eastAsia="zh-CN"/>
              </w:rPr>
              <w:t>80%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原版宋体" w:hAnsi="原版宋体" w:eastAsia="仿宋_GB2312" w:cs="Times New Roman"/>
                <w:color w:val="000000"/>
                <w:kern w:val="0"/>
                <w:sz w:val="18"/>
                <w:szCs w:val="18"/>
                <w:lang w:val="en-US" w:eastAsia="zh-CN" w:bidi="ar-SA"/>
              </w:rPr>
            </w:pPr>
            <w:r>
              <w:rPr>
                <w:rFonts w:hint="eastAsia" w:ascii="原版宋体" w:hAnsi="原版宋体" w:eastAsia="仿宋_GB2312" w:cs="Times New Roman"/>
                <w:color w:val="000000"/>
                <w:kern w:val="0"/>
                <w:sz w:val="18"/>
                <w:szCs w:val="18"/>
                <w:lang w:val="en-US" w:eastAsia="zh-CN"/>
              </w:rPr>
              <w:t>90.88%</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eastAsia="仿宋_GB2312"/>
                <w:color w:val="000000"/>
                <w:kern w:val="0"/>
                <w:szCs w:val="21"/>
                <w:lang w:val="en-US" w:eastAsia="zh-CN"/>
              </w:rPr>
            </w:pPr>
            <w:r>
              <w:rPr>
                <w:rFonts w:eastAsia="仿宋_GB2312"/>
                <w:color w:val="000000"/>
                <w:kern w:val="0"/>
                <w:szCs w:val="21"/>
              </w:rPr>
              <w:t>　</w:t>
            </w:r>
            <w:r>
              <w:rPr>
                <w:rFonts w:hint="eastAsia" w:eastAsia="仿宋_GB2312"/>
                <w:color w:val="000000"/>
                <w:kern w:val="0"/>
                <w:szCs w:val="21"/>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Times New Roman" w:hAnsi="Times New Roman" w:eastAsia="仿宋_GB2312" w:cs="Times New Roman"/>
                <w:color w:val="000000"/>
                <w:kern w:val="0"/>
                <w:sz w:val="21"/>
                <w:szCs w:val="21"/>
                <w:lang w:val="en-US" w:eastAsia="zh-CN" w:bidi="ar-SA"/>
              </w:rPr>
            </w:pPr>
            <w:r>
              <w:rPr>
                <w:rFonts w:eastAsia="仿宋_GB2312"/>
                <w:color w:val="000000"/>
                <w:kern w:val="0"/>
                <w:szCs w:val="21"/>
              </w:rPr>
              <w:t>　</w:t>
            </w:r>
            <w:r>
              <w:rPr>
                <w:rFonts w:hint="eastAsia" w:eastAsia="仿宋_GB2312"/>
                <w:color w:val="000000"/>
                <w:kern w:val="0"/>
                <w:szCs w:val="21"/>
                <w:lang w:val="en-US" w:eastAsia="zh-CN"/>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c>
          <w:tcPr>
            <w:tcW w:w="9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1507"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jc w:val="left"/>
              <w:rPr>
                <w:rFonts w:hint="default" w:ascii="原版宋体" w:hAnsi="原版宋体" w:eastAsia="仿宋_GB2312" w:cs="Times New Roman"/>
                <w:color w:val="000000"/>
                <w:kern w:val="0"/>
                <w:sz w:val="18"/>
                <w:szCs w:val="18"/>
                <w:lang w:val="en-US" w:eastAsia="zh-CN" w:bidi="ar-SA"/>
              </w:rPr>
            </w:pPr>
            <w:r>
              <w:rPr>
                <w:rFonts w:hint="eastAsia" w:ascii="原版宋体" w:hAnsi="原版宋体" w:eastAsia="仿宋_GB2312" w:cs="Times New Roman"/>
                <w:color w:val="000000"/>
                <w:kern w:val="0"/>
                <w:sz w:val="18"/>
                <w:szCs w:val="18"/>
                <w:lang w:val="en-US" w:eastAsia="zh-CN"/>
              </w:rPr>
              <w:t>4.肺结核患者管理率</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原版宋体" w:hAnsi="原版宋体" w:eastAsia="仿宋_GB2312" w:cs="Times New Roman"/>
                <w:color w:val="000000"/>
                <w:kern w:val="0"/>
                <w:sz w:val="18"/>
                <w:szCs w:val="18"/>
                <w:lang w:val="en-US" w:eastAsia="zh-CN" w:bidi="ar-SA"/>
              </w:rPr>
            </w:pPr>
            <w:r>
              <w:rPr>
                <w:rFonts w:hint="default" w:ascii="原版宋体" w:hAnsi="原版宋体" w:eastAsia="仿宋_GB2312" w:cs="Times New Roman"/>
                <w:color w:val="000000"/>
                <w:kern w:val="0"/>
                <w:sz w:val="18"/>
                <w:szCs w:val="18"/>
                <w:lang w:val="en-US" w:eastAsia="zh-CN"/>
              </w:rPr>
              <w:t>≥</w:t>
            </w:r>
            <w:r>
              <w:rPr>
                <w:rFonts w:hint="eastAsia" w:ascii="原版宋体" w:hAnsi="原版宋体" w:eastAsia="仿宋_GB2312" w:cs="Times New Roman"/>
                <w:color w:val="000000"/>
                <w:kern w:val="0"/>
                <w:sz w:val="18"/>
                <w:szCs w:val="18"/>
                <w:lang w:val="en-US" w:eastAsia="zh-CN"/>
              </w:rPr>
              <w:t>90%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原版宋体" w:hAnsi="原版宋体" w:eastAsia="仿宋_GB2312" w:cs="Times New Roman"/>
                <w:color w:val="000000"/>
                <w:kern w:val="0"/>
                <w:sz w:val="18"/>
                <w:szCs w:val="18"/>
                <w:lang w:val="en-US" w:eastAsia="zh-CN" w:bidi="ar-SA"/>
              </w:rPr>
            </w:pPr>
            <w:r>
              <w:rPr>
                <w:rFonts w:hint="eastAsia" w:ascii="原版宋体" w:hAnsi="原版宋体" w:eastAsia="仿宋_GB2312" w:cs="Times New Roman"/>
                <w:color w:val="000000"/>
                <w:kern w:val="0"/>
                <w:sz w:val="18"/>
                <w:szCs w:val="18"/>
                <w:lang w:val="en-US" w:eastAsia="zh-CN"/>
              </w:rPr>
              <w:t>100%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eastAsia="仿宋_GB2312"/>
                <w:color w:val="000000"/>
                <w:kern w:val="0"/>
                <w:szCs w:val="21"/>
                <w:lang w:val="en-US" w:eastAsia="zh-CN"/>
              </w:rPr>
            </w:pPr>
            <w:r>
              <w:rPr>
                <w:rFonts w:eastAsia="仿宋_GB2312"/>
                <w:color w:val="000000"/>
                <w:kern w:val="0"/>
                <w:szCs w:val="21"/>
              </w:rPr>
              <w:t>　</w:t>
            </w:r>
            <w:r>
              <w:rPr>
                <w:rFonts w:hint="eastAsia" w:eastAsia="仿宋_GB2312"/>
                <w:color w:val="000000"/>
                <w:kern w:val="0"/>
                <w:szCs w:val="21"/>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Times New Roman" w:hAnsi="Times New Roman" w:eastAsia="仿宋_GB2312" w:cs="Times New Roman"/>
                <w:color w:val="000000"/>
                <w:kern w:val="0"/>
                <w:sz w:val="21"/>
                <w:szCs w:val="21"/>
                <w:lang w:val="en-US" w:eastAsia="zh-CN" w:bidi="ar-SA"/>
              </w:rPr>
            </w:pPr>
            <w:r>
              <w:rPr>
                <w:rFonts w:eastAsia="仿宋_GB2312"/>
                <w:color w:val="000000"/>
                <w:kern w:val="0"/>
                <w:szCs w:val="21"/>
              </w:rPr>
              <w:t>　</w:t>
            </w:r>
            <w:r>
              <w:rPr>
                <w:rFonts w:hint="eastAsia" w:eastAsia="仿宋_GB2312"/>
                <w:color w:val="000000"/>
                <w:kern w:val="0"/>
                <w:szCs w:val="21"/>
                <w:lang w:val="en-US" w:eastAsia="zh-CN"/>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c>
          <w:tcPr>
            <w:tcW w:w="9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1507"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jc w:val="left"/>
              <w:rPr>
                <w:rFonts w:hint="default" w:ascii="原版宋体" w:hAnsi="原版宋体" w:eastAsia="仿宋_GB2312" w:cs="Times New Roman"/>
                <w:color w:val="000000"/>
                <w:kern w:val="0"/>
                <w:sz w:val="18"/>
                <w:szCs w:val="18"/>
                <w:lang w:val="en-US" w:eastAsia="zh-CN" w:bidi="ar-SA"/>
              </w:rPr>
            </w:pPr>
            <w:r>
              <w:rPr>
                <w:rFonts w:hint="eastAsia" w:ascii="原版宋体" w:hAnsi="原版宋体" w:eastAsia="仿宋_GB2312" w:cs="Times New Roman"/>
                <w:color w:val="000000"/>
                <w:kern w:val="0"/>
                <w:sz w:val="18"/>
                <w:szCs w:val="18"/>
                <w:lang w:val="en-US" w:eastAsia="zh-CN"/>
              </w:rPr>
              <w:t>5.传染病和突发公共卫生事件报告率</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原版宋体" w:hAnsi="原版宋体" w:eastAsia="仿宋_GB2312" w:cs="Times New Roman"/>
                <w:color w:val="000000"/>
                <w:kern w:val="0"/>
                <w:sz w:val="18"/>
                <w:szCs w:val="18"/>
                <w:lang w:val="en-US" w:eastAsia="zh-CN" w:bidi="ar-SA"/>
              </w:rPr>
            </w:pPr>
            <w:r>
              <w:rPr>
                <w:rFonts w:hint="default" w:ascii="原版宋体" w:hAnsi="原版宋体" w:eastAsia="仿宋_GB2312" w:cs="Times New Roman"/>
                <w:color w:val="000000"/>
                <w:kern w:val="0"/>
                <w:sz w:val="18"/>
                <w:szCs w:val="18"/>
                <w:lang w:val="en-US" w:eastAsia="zh-CN"/>
              </w:rPr>
              <w:t>≥</w:t>
            </w:r>
            <w:r>
              <w:rPr>
                <w:rFonts w:hint="eastAsia" w:ascii="原版宋体" w:hAnsi="原版宋体" w:eastAsia="仿宋_GB2312" w:cs="Times New Roman"/>
                <w:color w:val="000000"/>
                <w:kern w:val="0"/>
                <w:sz w:val="18"/>
                <w:szCs w:val="18"/>
                <w:lang w:val="en-US" w:eastAsia="zh-CN"/>
              </w:rPr>
              <w:t>95%</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原版宋体" w:hAnsi="原版宋体" w:eastAsia="仿宋_GB2312" w:cs="Times New Roman"/>
                <w:color w:val="000000"/>
                <w:kern w:val="0"/>
                <w:sz w:val="18"/>
                <w:szCs w:val="18"/>
                <w:lang w:val="en-US" w:eastAsia="zh-CN" w:bidi="ar-SA"/>
              </w:rPr>
            </w:pPr>
            <w:r>
              <w:rPr>
                <w:rFonts w:hint="eastAsia" w:ascii="原版宋体" w:hAnsi="原版宋体" w:eastAsia="仿宋_GB2312" w:cs="Times New Roman"/>
                <w:color w:val="000000"/>
                <w:kern w:val="0"/>
                <w:sz w:val="18"/>
                <w:szCs w:val="18"/>
                <w:lang w:val="en-US" w:eastAsia="zh-CN"/>
              </w:rPr>
              <w:t>100%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eastAsia="仿宋_GB2312"/>
                <w:color w:val="000000"/>
                <w:kern w:val="0"/>
                <w:szCs w:val="21"/>
                <w:lang w:val="en-US" w:eastAsia="zh-CN"/>
              </w:rPr>
            </w:pPr>
            <w:r>
              <w:rPr>
                <w:rFonts w:eastAsia="仿宋_GB2312"/>
                <w:color w:val="000000"/>
                <w:kern w:val="0"/>
                <w:szCs w:val="21"/>
              </w:rPr>
              <w:t>　</w:t>
            </w:r>
            <w:r>
              <w:rPr>
                <w:rFonts w:hint="eastAsia" w:eastAsia="仿宋_GB2312"/>
                <w:color w:val="000000"/>
                <w:kern w:val="0"/>
                <w:szCs w:val="21"/>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Times New Roman" w:hAnsi="Times New Roman" w:eastAsia="仿宋_GB2312" w:cs="Times New Roman"/>
                <w:color w:val="000000"/>
                <w:kern w:val="0"/>
                <w:sz w:val="21"/>
                <w:szCs w:val="21"/>
                <w:lang w:val="en-US" w:eastAsia="zh-CN" w:bidi="ar-SA"/>
              </w:rPr>
            </w:pPr>
            <w:r>
              <w:rPr>
                <w:rFonts w:eastAsia="仿宋_GB2312"/>
                <w:color w:val="000000"/>
                <w:kern w:val="0"/>
                <w:szCs w:val="21"/>
              </w:rPr>
              <w:t>　</w:t>
            </w:r>
            <w:r>
              <w:rPr>
                <w:rFonts w:hint="eastAsia" w:eastAsia="仿宋_GB2312"/>
                <w:color w:val="000000"/>
                <w:kern w:val="0"/>
                <w:szCs w:val="21"/>
                <w:lang w:val="en-US" w:eastAsia="zh-CN"/>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效益</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指标</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（30分）</w:t>
            </w:r>
          </w:p>
          <w:p>
            <w:pPr>
              <w:keepNext w:val="0"/>
              <w:keepLines w:val="0"/>
              <w:pageBreakBefore w:val="0"/>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社会效</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益指标</w:t>
            </w:r>
          </w:p>
        </w:tc>
        <w:tc>
          <w:tcPr>
            <w:tcW w:w="15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原版宋体" w:hAnsi="原版宋体" w:eastAsia="仿宋_GB2312" w:cs="Times New Roman"/>
                <w:color w:val="000000"/>
                <w:kern w:val="0"/>
                <w:sz w:val="18"/>
                <w:szCs w:val="18"/>
                <w:lang w:val="en-US" w:eastAsia="zh-CN" w:bidi="ar-SA"/>
              </w:rPr>
            </w:pPr>
            <w:r>
              <w:rPr>
                <w:rFonts w:hint="eastAsia" w:ascii="原版宋体" w:hAnsi="原版宋体" w:eastAsia="仿宋_GB2312" w:cs="Times New Roman"/>
                <w:color w:val="000000"/>
                <w:kern w:val="0"/>
                <w:sz w:val="18"/>
                <w:szCs w:val="18"/>
                <w:lang w:val="en-US" w:eastAsia="zh-CN"/>
              </w:rPr>
              <w:t>城乡居民公共卫生差距</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原版宋体" w:hAnsi="原版宋体" w:eastAsia="仿宋_GB2312" w:cs="Times New Roman"/>
                <w:color w:val="000000"/>
                <w:kern w:val="0"/>
                <w:sz w:val="18"/>
                <w:szCs w:val="18"/>
                <w:lang w:val="en-US" w:eastAsia="zh-CN" w:bidi="ar-SA"/>
              </w:rPr>
            </w:pPr>
            <w:r>
              <w:rPr>
                <w:rFonts w:hint="eastAsia" w:ascii="原版宋体" w:hAnsi="原版宋体" w:eastAsia="仿宋_GB2312" w:cs="Times New Roman"/>
                <w:color w:val="000000"/>
                <w:kern w:val="0"/>
                <w:sz w:val="18"/>
                <w:szCs w:val="18"/>
                <w:lang w:val="en-US" w:eastAsia="zh-CN"/>
              </w:rPr>
              <w:t>逐步缩小</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原版宋体" w:hAnsi="原版宋体" w:eastAsia="仿宋_GB2312" w:cs="Times New Roman"/>
                <w:color w:val="000000"/>
                <w:kern w:val="0"/>
                <w:sz w:val="18"/>
                <w:szCs w:val="18"/>
                <w:lang w:val="en-US" w:eastAsia="zh-CN" w:bidi="ar-SA"/>
              </w:rPr>
            </w:pPr>
            <w:r>
              <w:rPr>
                <w:rFonts w:hint="eastAsia" w:ascii="原版宋体" w:hAnsi="原版宋体" w:eastAsia="仿宋_GB2312" w:cs="Times New Roman"/>
                <w:color w:val="000000"/>
                <w:kern w:val="0"/>
                <w:sz w:val="18"/>
                <w:szCs w:val="18"/>
                <w:lang w:val="en-US" w:eastAsia="zh-CN"/>
              </w:rPr>
              <w:t>逐步缩小</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eastAsia="仿宋_GB2312"/>
                <w:color w:val="000000"/>
                <w:kern w:val="0"/>
                <w:szCs w:val="21"/>
                <w:lang w:val="en-US" w:eastAsia="zh-CN"/>
              </w:rPr>
            </w:pPr>
            <w:r>
              <w:rPr>
                <w:rFonts w:eastAsia="仿宋_GB2312"/>
                <w:color w:val="000000"/>
                <w:kern w:val="0"/>
                <w:szCs w:val="21"/>
              </w:rPr>
              <w:t>　</w:t>
            </w:r>
            <w:r>
              <w:rPr>
                <w:rFonts w:hint="eastAsia" w:eastAsia="仿宋_GB2312"/>
                <w:color w:val="000000"/>
                <w:kern w:val="0"/>
                <w:szCs w:val="21"/>
                <w:lang w:val="en-US" w:eastAsia="zh-CN"/>
              </w:rPr>
              <w:t>15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kern w:val="0"/>
                <w:sz w:val="21"/>
                <w:szCs w:val="21"/>
                <w:lang w:val="en-US" w:eastAsia="zh-CN" w:bidi="ar-SA"/>
              </w:rPr>
            </w:pPr>
            <w:r>
              <w:rPr>
                <w:rFonts w:eastAsia="仿宋_GB2312"/>
                <w:color w:val="000000"/>
                <w:kern w:val="0"/>
                <w:szCs w:val="21"/>
              </w:rPr>
              <w:t>　</w:t>
            </w:r>
            <w:r>
              <w:rPr>
                <w:rFonts w:hint="eastAsia" w:eastAsia="仿宋_GB2312"/>
                <w:color w:val="000000"/>
                <w:kern w:val="0"/>
                <w:szCs w:val="21"/>
                <w:lang w:val="en-US" w:eastAsia="zh-CN"/>
              </w:rPr>
              <w:t>15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可持续影响指标</w:t>
            </w:r>
          </w:p>
        </w:tc>
        <w:tc>
          <w:tcPr>
            <w:tcW w:w="15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原版宋体" w:hAnsi="原版宋体" w:eastAsia="仿宋_GB2312" w:cs="Times New Roman"/>
                <w:color w:val="000000"/>
                <w:kern w:val="0"/>
                <w:sz w:val="18"/>
                <w:szCs w:val="18"/>
                <w:lang w:val="en-US" w:eastAsia="zh-CN" w:bidi="ar-SA"/>
              </w:rPr>
            </w:pPr>
            <w:r>
              <w:rPr>
                <w:rFonts w:hint="eastAsia" w:ascii="原版宋体" w:hAnsi="原版宋体" w:eastAsia="仿宋_GB2312" w:cs="Times New Roman"/>
                <w:color w:val="000000"/>
                <w:kern w:val="0"/>
                <w:sz w:val="18"/>
                <w:szCs w:val="18"/>
                <w:lang w:val="en-US" w:eastAsia="zh-CN"/>
              </w:rPr>
              <w:t>基本公共卫生服务水平</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原版宋体" w:hAnsi="原版宋体" w:eastAsia="仿宋_GB2312" w:cs="Times New Roman"/>
                <w:color w:val="000000"/>
                <w:kern w:val="0"/>
                <w:sz w:val="18"/>
                <w:szCs w:val="18"/>
                <w:lang w:val="en-US" w:eastAsia="zh-CN" w:bidi="ar-SA"/>
              </w:rPr>
            </w:pPr>
            <w:r>
              <w:rPr>
                <w:rFonts w:hint="eastAsia" w:ascii="原版宋体" w:hAnsi="原版宋体" w:eastAsia="仿宋_GB2312" w:cs="Times New Roman"/>
                <w:color w:val="000000"/>
                <w:kern w:val="0"/>
                <w:sz w:val="18"/>
                <w:szCs w:val="18"/>
                <w:lang w:val="en-US" w:eastAsia="zh-CN"/>
              </w:rPr>
              <w:t>不断提高</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原版宋体" w:hAnsi="原版宋体" w:eastAsia="仿宋_GB2312" w:cs="Times New Roman"/>
                <w:color w:val="000000"/>
                <w:kern w:val="0"/>
                <w:sz w:val="18"/>
                <w:szCs w:val="18"/>
                <w:lang w:val="en-US" w:eastAsia="zh-CN" w:bidi="ar-SA"/>
              </w:rPr>
            </w:pPr>
            <w:r>
              <w:rPr>
                <w:rFonts w:hint="eastAsia" w:ascii="原版宋体" w:hAnsi="原版宋体" w:eastAsia="仿宋_GB2312" w:cs="Times New Roman"/>
                <w:color w:val="000000"/>
                <w:kern w:val="0"/>
                <w:sz w:val="18"/>
                <w:szCs w:val="18"/>
                <w:lang w:val="en-US" w:eastAsia="zh-CN"/>
              </w:rPr>
              <w:t>不断提高</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eastAsia="仿宋_GB2312"/>
                <w:color w:val="000000"/>
                <w:kern w:val="0"/>
                <w:szCs w:val="21"/>
                <w:lang w:val="en-US" w:eastAsia="zh-CN"/>
              </w:rPr>
            </w:pPr>
            <w:r>
              <w:rPr>
                <w:rFonts w:eastAsia="仿宋_GB2312"/>
                <w:color w:val="000000"/>
                <w:kern w:val="0"/>
                <w:szCs w:val="21"/>
              </w:rPr>
              <w:t>　</w:t>
            </w:r>
            <w:r>
              <w:rPr>
                <w:rFonts w:hint="eastAsia" w:eastAsia="仿宋_GB2312"/>
                <w:color w:val="000000"/>
                <w:kern w:val="0"/>
                <w:szCs w:val="21"/>
                <w:lang w:val="en-US" w:eastAsia="zh-CN"/>
              </w:rPr>
              <w:t>15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kern w:val="0"/>
                <w:sz w:val="21"/>
                <w:szCs w:val="21"/>
                <w:lang w:val="en-US" w:eastAsia="zh-CN" w:bidi="ar-SA"/>
              </w:rPr>
            </w:pPr>
            <w:r>
              <w:rPr>
                <w:rFonts w:eastAsia="仿宋_GB2312"/>
                <w:color w:val="000000"/>
                <w:kern w:val="0"/>
                <w:szCs w:val="21"/>
              </w:rPr>
              <w:t>　</w:t>
            </w:r>
            <w:r>
              <w:rPr>
                <w:rFonts w:hint="eastAsia" w:eastAsia="仿宋_GB2312"/>
                <w:color w:val="000000"/>
                <w:kern w:val="0"/>
                <w:szCs w:val="21"/>
                <w:lang w:val="en-US" w:eastAsia="zh-CN"/>
              </w:rPr>
              <w:t>15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满意度</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指标</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（10分）</w:t>
            </w:r>
          </w:p>
        </w:tc>
        <w:tc>
          <w:tcPr>
            <w:tcW w:w="90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服务对象满意度指标</w:t>
            </w:r>
          </w:p>
        </w:tc>
        <w:tc>
          <w:tcPr>
            <w:tcW w:w="15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原版宋体" w:hAnsi="原版宋体" w:eastAsia="仿宋_GB2312" w:cs="Times New Roman"/>
                <w:color w:val="000000"/>
                <w:kern w:val="0"/>
                <w:sz w:val="18"/>
                <w:szCs w:val="18"/>
                <w:lang w:val="en-US" w:eastAsia="zh-CN" w:bidi="ar-SA"/>
              </w:rPr>
            </w:pPr>
            <w:r>
              <w:rPr>
                <w:rFonts w:hint="eastAsia" w:ascii="原版宋体" w:hAnsi="原版宋体" w:eastAsia="仿宋_GB2312" w:cs="Times New Roman"/>
                <w:color w:val="000000"/>
                <w:kern w:val="0"/>
                <w:sz w:val="18"/>
                <w:szCs w:val="18"/>
                <w:lang w:val="en-US" w:eastAsia="zh-CN"/>
              </w:rPr>
              <w:t>1.服务对象综合知晓率</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原版宋体" w:hAnsi="原版宋体" w:eastAsia="仿宋_GB2312" w:cs="Times New Roman"/>
                <w:color w:val="000000"/>
                <w:kern w:val="0"/>
                <w:sz w:val="18"/>
                <w:szCs w:val="18"/>
                <w:lang w:val="en-US" w:eastAsia="zh-CN" w:bidi="ar-SA"/>
              </w:rPr>
            </w:pPr>
            <w:r>
              <w:rPr>
                <w:rFonts w:hint="eastAsia" w:ascii="原版宋体" w:hAnsi="原版宋体" w:eastAsia="仿宋_GB2312" w:cs="Times New Roman"/>
                <w:color w:val="000000"/>
                <w:kern w:val="0"/>
                <w:sz w:val="18"/>
                <w:szCs w:val="18"/>
                <w:lang w:val="en-US" w:eastAsia="zh-CN"/>
              </w:rPr>
              <w:t>50%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原版宋体" w:hAnsi="原版宋体" w:eastAsia="仿宋_GB2312" w:cs="Times New Roman"/>
                <w:color w:val="000000"/>
                <w:kern w:val="0"/>
                <w:sz w:val="18"/>
                <w:szCs w:val="18"/>
                <w:lang w:val="en-US" w:eastAsia="zh-CN" w:bidi="ar-SA"/>
              </w:rPr>
            </w:pPr>
            <w:r>
              <w:rPr>
                <w:rFonts w:hint="eastAsia" w:ascii="原版宋体" w:hAnsi="原版宋体" w:eastAsia="仿宋_GB2312" w:cs="Times New Roman"/>
                <w:color w:val="000000"/>
                <w:kern w:val="0"/>
                <w:sz w:val="18"/>
                <w:szCs w:val="18"/>
                <w:lang w:val="en-US" w:eastAsia="zh-CN"/>
              </w:rPr>
              <w:t>50%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eastAsia="仿宋_GB2312"/>
                <w:color w:val="000000"/>
                <w:kern w:val="0"/>
                <w:szCs w:val="21"/>
                <w:lang w:val="en-US" w:eastAsia="zh-CN"/>
              </w:rPr>
            </w:pPr>
            <w:r>
              <w:rPr>
                <w:rFonts w:hint="eastAsia" w:eastAsia="仿宋_GB2312"/>
                <w:color w:val="000000"/>
                <w:kern w:val="0"/>
                <w:szCs w:val="21"/>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Cs w:val="21"/>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c>
          <w:tcPr>
            <w:tcW w:w="9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c>
          <w:tcPr>
            <w:tcW w:w="15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原版宋体" w:hAnsi="原版宋体" w:eastAsia="仿宋_GB2312" w:cs="Times New Roman"/>
                <w:color w:val="000000"/>
                <w:kern w:val="0"/>
                <w:sz w:val="18"/>
                <w:szCs w:val="18"/>
                <w:lang w:val="en-US" w:eastAsia="zh-CN" w:bidi="ar-SA"/>
              </w:rPr>
            </w:pPr>
            <w:r>
              <w:rPr>
                <w:rFonts w:hint="eastAsia" w:ascii="原版宋体" w:hAnsi="原版宋体" w:eastAsia="仿宋_GB2312" w:cs="Times New Roman"/>
                <w:color w:val="000000"/>
                <w:kern w:val="0"/>
                <w:sz w:val="18"/>
                <w:szCs w:val="18"/>
                <w:lang w:val="en-US" w:eastAsia="zh-CN"/>
              </w:rPr>
              <w:t>2.服务对象满意度</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原版宋体" w:hAnsi="原版宋体" w:eastAsia="仿宋_GB2312" w:cs="Times New Roman"/>
                <w:color w:val="000000"/>
                <w:kern w:val="0"/>
                <w:sz w:val="18"/>
                <w:szCs w:val="18"/>
                <w:lang w:val="en-US" w:eastAsia="zh-CN" w:bidi="ar-SA"/>
              </w:rPr>
            </w:pPr>
            <w:r>
              <w:rPr>
                <w:rFonts w:hint="eastAsia" w:ascii="原版宋体" w:hAnsi="原版宋体" w:eastAsia="仿宋_GB2312" w:cs="Times New Roman"/>
                <w:color w:val="000000"/>
                <w:kern w:val="0"/>
                <w:sz w:val="18"/>
                <w:szCs w:val="18"/>
                <w:lang w:val="en-US" w:eastAsia="zh-CN"/>
              </w:rPr>
              <w:t>较上年提高</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原版宋体" w:hAnsi="原版宋体" w:eastAsia="仿宋_GB2312" w:cs="Times New Roman"/>
                <w:color w:val="000000"/>
                <w:kern w:val="0"/>
                <w:sz w:val="18"/>
                <w:szCs w:val="18"/>
                <w:lang w:val="en-US" w:eastAsia="zh-CN" w:bidi="ar-SA"/>
              </w:rPr>
            </w:pPr>
            <w:r>
              <w:rPr>
                <w:rFonts w:hint="eastAsia" w:ascii="原版宋体" w:hAnsi="原版宋体" w:eastAsia="仿宋_GB2312" w:cs="Times New Roman"/>
                <w:color w:val="000000"/>
                <w:kern w:val="0"/>
                <w:sz w:val="18"/>
                <w:szCs w:val="18"/>
                <w:lang w:val="en-US" w:eastAsia="zh-CN"/>
              </w:rPr>
              <w:t>较上年提高</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eastAsia="仿宋_GB2312"/>
                <w:color w:val="000000"/>
                <w:kern w:val="0"/>
                <w:szCs w:val="21"/>
                <w:lang w:val="en-US" w:eastAsia="zh-CN"/>
              </w:rPr>
            </w:pPr>
            <w:r>
              <w:rPr>
                <w:rFonts w:hint="eastAsia" w:eastAsia="仿宋_GB2312"/>
                <w:color w:val="000000"/>
                <w:kern w:val="0"/>
                <w:szCs w:val="21"/>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Cs w:val="21"/>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总分</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100</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eastAsia="仿宋_GB2312"/>
                <w:color w:val="000000"/>
                <w:kern w:val="0"/>
                <w:szCs w:val="21"/>
                <w:lang w:val="en-US" w:eastAsia="zh-CN"/>
              </w:rPr>
            </w:pPr>
            <w:r>
              <w:rPr>
                <w:rFonts w:eastAsia="仿宋_GB2312"/>
                <w:color w:val="000000"/>
                <w:kern w:val="0"/>
                <w:szCs w:val="21"/>
              </w:rPr>
              <w:t>　</w:t>
            </w:r>
            <w:r>
              <w:rPr>
                <w:rFonts w:hint="eastAsia" w:eastAsia="仿宋_GB2312"/>
                <w:color w:val="000000"/>
                <w:kern w:val="0"/>
                <w:szCs w:val="21"/>
                <w:lang w:val="en-US" w:eastAsia="zh-CN"/>
              </w:rPr>
              <w:t>100</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r>
    </w:tbl>
    <w:p>
      <w:pPr>
        <w:keepNext w:val="0"/>
        <w:keepLines w:val="0"/>
        <w:pageBreakBefore w:val="0"/>
        <w:kinsoku/>
        <w:wordWrap/>
        <w:overflowPunct/>
        <w:topLinePunct w:val="0"/>
        <w:autoSpaceDE/>
        <w:autoSpaceDN/>
        <w:bidi w:val="0"/>
        <w:adjustRightInd/>
        <w:snapToGrid/>
        <w:spacing w:line="320" w:lineRule="exact"/>
        <w:textAlignment w:val="auto"/>
        <w:rPr>
          <w:rFonts w:eastAsia="仿宋_GB2312"/>
          <w:sz w:val="24"/>
        </w:rPr>
      </w:pPr>
      <w:r>
        <w:rPr>
          <w:rFonts w:eastAsia="仿宋_GB2312"/>
          <w:sz w:val="24"/>
        </w:rPr>
        <w:t>填表人：         填报日期：           联系电话：       单位负责人签字：</w:t>
      </w:r>
    </w:p>
    <w:p>
      <w:pPr>
        <w:keepNext w:val="0"/>
        <w:keepLines w:val="0"/>
        <w:pageBreakBefore w:val="0"/>
        <w:kinsoku/>
        <w:overflowPunct/>
        <w:topLinePunct w:val="0"/>
        <w:autoSpaceDE/>
        <w:bidi w:val="0"/>
        <w:spacing w:line="540" w:lineRule="exact"/>
        <w:jc w:val="center"/>
        <w:rPr>
          <w:rFonts w:hint="eastAsia" w:eastAsia="仿宋_GB2312"/>
          <w:sz w:val="32"/>
        </w:rPr>
      </w:pPr>
      <w:r>
        <w:rPr>
          <w:rFonts w:eastAsia="黑体"/>
          <w:sz w:val="32"/>
          <w:szCs w:val="32"/>
        </w:rPr>
        <w:br w:type="page"/>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宋体" w:hAnsi="宋体" w:eastAsia="宋体" w:cs="宋体"/>
                <w:b/>
                <w:bCs/>
                <w:i w:val="0"/>
                <w:caps w:val="0"/>
                <w:color w:val="333333"/>
                <w:spacing w:val="0"/>
                <w:sz w:val="44"/>
                <w:szCs w:val="44"/>
              </w:rPr>
            </w:pPr>
            <w:r>
              <w:rPr>
                <w:rFonts w:hint="eastAsia" w:ascii="宋体" w:hAnsi="宋体" w:eastAsia="宋体" w:cs="宋体"/>
                <w:b/>
                <w:bCs/>
                <w:i w:val="0"/>
                <w:caps w:val="0"/>
                <w:color w:val="333333"/>
                <w:spacing w:val="0"/>
                <w:sz w:val="44"/>
                <w:szCs w:val="44"/>
                <w:shd w:val="clear" w:color="auto" w:fill="FFFFFF"/>
                <w:lang w:val="en-US"/>
              </w:rPr>
              <w:t>20</w:t>
            </w:r>
            <w:r>
              <w:rPr>
                <w:rFonts w:hint="eastAsia" w:ascii="宋体" w:hAnsi="宋体" w:eastAsia="宋体" w:cs="宋体"/>
                <w:b/>
                <w:bCs/>
                <w:i w:val="0"/>
                <w:caps w:val="0"/>
                <w:color w:val="333333"/>
                <w:spacing w:val="0"/>
                <w:sz w:val="44"/>
                <w:szCs w:val="44"/>
                <w:shd w:val="clear" w:color="auto" w:fill="FFFFFF"/>
                <w:lang w:val="en-US" w:eastAsia="zh-CN"/>
              </w:rPr>
              <w:t>2</w:t>
            </w:r>
            <w:r>
              <w:rPr>
                <w:rFonts w:hint="eastAsia" w:ascii="宋体" w:hAnsi="宋体" w:cs="宋体"/>
                <w:b/>
                <w:bCs/>
                <w:i w:val="0"/>
                <w:caps w:val="0"/>
                <w:color w:val="333333"/>
                <w:spacing w:val="0"/>
                <w:sz w:val="44"/>
                <w:szCs w:val="44"/>
                <w:shd w:val="clear" w:color="auto" w:fill="FFFFFF"/>
                <w:lang w:val="en-US" w:eastAsia="zh-CN"/>
              </w:rPr>
              <w:t>2</w:t>
            </w:r>
            <w:r>
              <w:rPr>
                <w:rFonts w:hint="eastAsia" w:ascii="宋体" w:hAnsi="宋体" w:eastAsia="宋体" w:cs="宋体"/>
                <w:b/>
                <w:bCs/>
                <w:i w:val="0"/>
                <w:caps w:val="0"/>
                <w:color w:val="333333"/>
                <w:spacing w:val="0"/>
                <w:sz w:val="44"/>
                <w:szCs w:val="44"/>
                <w:shd w:val="clear" w:color="auto" w:fill="FFFFFF"/>
                <w:lang w:val="en-US" w:eastAsia="zh-CN"/>
              </w:rPr>
              <w:t>年</w:t>
            </w:r>
            <w:r>
              <w:rPr>
                <w:rFonts w:hint="eastAsia" w:ascii="宋体" w:hAnsi="宋体" w:cs="宋体"/>
                <w:b/>
                <w:bCs/>
                <w:i w:val="0"/>
                <w:caps w:val="0"/>
                <w:color w:val="333333"/>
                <w:spacing w:val="0"/>
                <w:sz w:val="44"/>
                <w:szCs w:val="44"/>
                <w:shd w:val="clear" w:color="auto" w:fill="FFFFFF"/>
                <w:lang w:val="en-US" w:eastAsia="zh-CN"/>
              </w:rPr>
              <w:t>云溪区</w:t>
            </w:r>
            <w:r>
              <w:rPr>
                <w:rFonts w:hint="eastAsia" w:ascii="宋体" w:hAnsi="宋体" w:eastAsia="宋体" w:cs="宋体"/>
                <w:b/>
                <w:bCs/>
                <w:i w:val="0"/>
                <w:caps w:val="0"/>
                <w:color w:val="333333"/>
                <w:spacing w:val="0"/>
                <w:sz w:val="44"/>
                <w:szCs w:val="44"/>
                <w:shd w:val="clear" w:color="auto" w:fill="FFFFFF"/>
              </w:rPr>
              <w:t>卫生健康局基本公共卫生服务专项资金绩效自评报告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20" w:lineRule="exact"/>
              <w:ind w:right="0"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为加强中央转移支付地方基本公共卫生服务项目资金管理，提高资金使用效益，推动建立科学、可行的项目绩效评价机制，根据有关文件精神，现对我局2022年度基本公共卫生服务项目开展绩效评价，现自评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20" w:lineRule="exact"/>
              <w:ind w:right="0" w:firstLine="640" w:firstLineChars="200"/>
              <w:jc w:val="both"/>
              <w:textAlignment w:val="auto"/>
              <w:rPr>
                <w:rFonts w:hint="eastAsia" w:ascii="黑体" w:hAnsi="黑体" w:eastAsia="黑体" w:cs="黑体"/>
                <w:i w:val="0"/>
                <w:caps w:val="0"/>
                <w:color w:val="333333"/>
                <w:spacing w:val="0"/>
                <w:kern w:val="0"/>
                <w:sz w:val="32"/>
                <w:szCs w:val="32"/>
                <w:shd w:val="clear" w:color="auto" w:fill="FFFFFF"/>
                <w:lang w:val="en-US" w:eastAsia="zh-CN" w:bidi="ar"/>
              </w:rPr>
            </w:pPr>
            <w:r>
              <w:rPr>
                <w:rFonts w:hint="eastAsia" w:ascii="黑体" w:hAnsi="黑体" w:eastAsia="黑体" w:cs="黑体"/>
                <w:i w:val="0"/>
                <w:caps w:val="0"/>
                <w:color w:val="333333"/>
                <w:spacing w:val="0"/>
                <w:kern w:val="0"/>
                <w:sz w:val="32"/>
                <w:szCs w:val="32"/>
                <w:shd w:val="clear" w:color="auto" w:fill="FFFFFF"/>
                <w:lang w:val="en-US" w:eastAsia="zh-CN" w:bidi="ar"/>
              </w:rPr>
              <w:t>一、项目概况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20" w:lineRule="exact"/>
              <w:ind w:right="0" w:firstLine="643" w:firstLineChars="200"/>
              <w:jc w:val="both"/>
              <w:textAlignment w:val="auto"/>
              <w:rPr>
                <w:rFonts w:hint="eastAsia" w:ascii="楷体" w:hAnsi="楷体" w:eastAsia="楷体" w:cs="楷体"/>
                <w:b/>
                <w:bCs/>
                <w:i w:val="0"/>
                <w:caps w:val="0"/>
                <w:color w:val="333333"/>
                <w:spacing w:val="0"/>
                <w:kern w:val="0"/>
                <w:sz w:val="32"/>
                <w:szCs w:val="32"/>
                <w:shd w:val="clear" w:color="auto" w:fill="FFFFFF"/>
                <w:lang w:val="en-US" w:eastAsia="zh-CN" w:bidi="ar"/>
              </w:rPr>
            </w:pPr>
            <w:r>
              <w:rPr>
                <w:rFonts w:hint="eastAsia" w:ascii="楷体" w:hAnsi="楷体" w:eastAsia="楷体" w:cs="楷体"/>
                <w:b/>
                <w:bCs/>
                <w:i w:val="0"/>
                <w:caps w:val="0"/>
                <w:color w:val="333333"/>
                <w:spacing w:val="0"/>
                <w:kern w:val="0"/>
                <w:sz w:val="32"/>
                <w:szCs w:val="32"/>
                <w:shd w:val="clear" w:color="auto" w:fill="FFFFFF"/>
                <w:lang w:val="en-US" w:eastAsia="zh-CN" w:bidi="ar"/>
              </w:rPr>
              <w:t>（一）单位基本情况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20" w:lineRule="exact"/>
              <w:ind w:right="0"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云溪区，隶属于湖南省</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fldChar w:fldCharType="begin"/>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instrText xml:space="preserve"> HYPERLINK "https://baike.baidu.com/item/%E5%B2%B3%E9%98%B3%E5%B8%82/2745460" \t "https://baike.baidu.com/item/%E4%BA%91%E6%BA%AA%E5%8C%BA/_blank" </w:instrTex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fldChar w:fldCharType="separate"/>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岳阳市</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fldChar w:fldCharType="end"/>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，位于湖南省东北部， 长江中游南岸，东北与临湘市接壤，西北与湖北省监利县隔江相望，南部与岳阳县和岳阳楼区毗邻。户籍人口15.3657万人，公卫专业指导机构3家（不含中医院），社区卫生服务中心、卫生院5家，社区卫生服务站（村卫生室）60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20" w:lineRule="exact"/>
              <w:ind w:right="0" w:firstLine="643" w:firstLineChars="200"/>
              <w:jc w:val="both"/>
              <w:textAlignment w:val="auto"/>
              <w:rPr>
                <w:rFonts w:hint="default" w:ascii="楷体" w:hAnsi="楷体" w:eastAsia="楷体" w:cs="楷体"/>
                <w:b/>
                <w:bCs/>
                <w:i w:val="0"/>
                <w:caps w:val="0"/>
                <w:color w:val="333333"/>
                <w:spacing w:val="0"/>
                <w:kern w:val="0"/>
                <w:sz w:val="32"/>
                <w:szCs w:val="32"/>
                <w:shd w:val="clear" w:color="auto" w:fill="FFFFFF"/>
                <w:lang w:val="en-US" w:eastAsia="zh-CN" w:bidi="ar"/>
              </w:rPr>
            </w:pPr>
            <w:r>
              <w:rPr>
                <w:rFonts w:hint="eastAsia" w:ascii="楷体" w:hAnsi="楷体" w:eastAsia="楷体" w:cs="楷体"/>
                <w:b/>
                <w:bCs/>
                <w:i w:val="0"/>
                <w:caps w:val="0"/>
                <w:color w:val="333333"/>
                <w:spacing w:val="0"/>
                <w:kern w:val="0"/>
                <w:sz w:val="32"/>
                <w:szCs w:val="32"/>
                <w:shd w:val="clear" w:color="auto" w:fill="FFFFFF"/>
                <w:lang w:val="en-US" w:eastAsia="zh-CN" w:bidi="ar"/>
              </w:rPr>
              <w:t>（二）项目基本情况简介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20" w:lineRule="exact"/>
              <w:ind w:right="0"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2022年人均基本公共卫生服务经费补助标准84元（按服务人口15.3657万人计算），按政策中央、省、区应筹集专项补助资金1290.72万元。项目内容是为辖区内常住人口免费提供国家基本公共卫生服务。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20" w:lineRule="exact"/>
              <w:ind w:right="0" w:firstLine="643" w:firstLineChars="200"/>
              <w:jc w:val="both"/>
              <w:textAlignment w:val="auto"/>
              <w:rPr>
                <w:rFonts w:hint="default" w:ascii="楷体" w:hAnsi="楷体" w:eastAsia="楷体" w:cs="楷体"/>
                <w:b/>
                <w:bCs/>
                <w:i w:val="0"/>
                <w:caps w:val="0"/>
                <w:color w:val="333333"/>
                <w:spacing w:val="0"/>
                <w:kern w:val="0"/>
                <w:sz w:val="32"/>
                <w:szCs w:val="32"/>
                <w:shd w:val="clear" w:color="auto" w:fill="FFFFFF"/>
                <w:lang w:val="en-US" w:eastAsia="zh-CN" w:bidi="ar"/>
              </w:rPr>
            </w:pPr>
            <w:r>
              <w:rPr>
                <w:rFonts w:hint="eastAsia" w:ascii="楷体" w:hAnsi="楷体" w:eastAsia="楷体" w:cs="楷体"/>
                <w:b/>
                <w:bCs/>
                <w:i w:val="0"/>
                <w:caps w:val="0"/>
                <w:color w:val="333333"/>
                <w:spacing w:val="0"/>
                <w:kern w:val="0"/>
                <w:sz w:val="32"/>
                <w:szCs w:val="32"/>
                <w:shd w:val="clear" w:color="auto" w:fill="FFFFFF"/>
                <w:lang w:val="en-US" w:eastAsia="zh-CN" w:bidi="ar"/>
              </w:rPr>
              <w:t>（三）项目绩效目标情况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20" w:lineRule="exact"/>
              <w:ind w:right="0"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根据云溪区2022年基本公共卫生服务项目实施方案要求，居民电子建档率高于或等于90％；0-6岁儿童健康管理率达到90%，0-6岁儿童眼保健和视力检查覆盖率达到90%。65岁及以上老年人每年提供1次健康管理服务，规范健康管理服务率达到61%，落实首诊测血压制度。高血压和糖尿病患者人数分别达到11217人和4000人，规范管理率均达到61%；严重精神障碍患者规范管理率达80%；结核病健康管理率达到90%；老年人中医药健康管理率达70%,儿童中医药健康管理服务率达77%；传染病和突发公共卫生事件的报告率达到100%；报告及时率达到100%；家庭医生签约服务一般人群覆盖率达到30%以上，重点人群签约覆盖率达到60%以上，建档立卡农村贫困人口和计划生育特殊家庭签约服务率达100%；并做好避孕药具的发放和重点疾病、重点领域和重点人群的健康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20" w:lineRule="exact"/>
              <w:ind w:right="0" w:firstLine="640" w:firstLineChars="200"/>
              <w:jc w:val="both"/>
              <w:textAlignment w:val="auto"/>
              <w:rPr>
                <w:rFonts w:hint="eastAsia" w:ascii="黑体" w:hAnsi="黑体" w:eastAsia="黑体" w:cs="黑体"/>
                <w:i w:val="0"/>
                <w:caps w:val="0"/>
                <w:color w:val="333333"/>
                <w:spacing w:val="0"/>
                <w:kern w:val="0"/>
                <w:sz w:val="32"/>
                <w:szCs w:val="32"/>
                <w:shd w:val="clear" w:color="auto" w:fill="FFFFFF"/>
                <w:lang w:val="en-US" w:eastAsia="zh-CN" w:bidi="ar"/>
              </w:rPr>
            </w:pPr>
            <w:r>
              <w:rPr>
                <w:rFonts w:hint="eastAsia" w:ascii="黑体" w:hAnsi="黑体" w:eastAsia="黑体" w:cs="黑体"/>
                <w:i w:val="0"/>
                <w:caps w:val="0"/>
                <w:color w:val="333333"/>
                <w:spacing w:val="0"/>
                <w:kern w:val="0"/>
                <w:sz w:val="32"/>
                <w:szCs w:val="32"/>
                <w:shd w:val="clear" w:color="auto" w:fill="FFFFFF"/>
                <w:lang w:val="en-US" w:eastAsia="zh-CN" w:bidi="ar"/>
              </w:rPr>
              <w:t>二、专项资金绩效自评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20" w:lineRule="exact"/>
              <w:ind w:right="0" w:firstLine="643" w:firstLineChars="200"/>
              <w:jc w:val="both"/>
              <w:textAlignment w:val="auto"/>
              <w:rPr>
                <w:rFonts w:hint="eastAsia" w:ascii="楷体" w:hAnsi="楷体" w:eastAsia="楷体" w:cs="楷体"/>
                <w:b/>
                <w:bCs/>
                <w:i w:val="0"/>
                <w:caps w:val="0"/>
                <w:color w:val="333333"/>
                <w:spacing w:val="0"/>
                <w:kern w:val="0"/>
                <w:sz w:val="32"/>
                <w:szCs w:val="32"/>
                <w:shd w:val="clear" w:color="auto" w:fill="FFFFFF"/>
                <w:lang w:val="en-US" w:eastAsia="zh-CN" w:bidi="ar"/>
              </w:rPr>
            </w:pPr>
            <w:r>
              <w:rPr>
                <w:rFonts w:hint="eastAsia" w:ascii="楷体" w:hAnsi="楷体" w:eastAsia="楷体" w:cs="楷体"/>
                <w:b/>
                <w:bCs/>
                <w:i w:val="0"/>
                <w:caps w:val="0"/>
                <w:color w:val="333333"/>
                <w:spacing w:val="0"/>
                <w:kern w:val="0"/>
                <w:sz w:val="32"/>
                <w:szCs w:val="32"/>
                <w:shd w:val="clear" w:color="auto" w:fill="FFFFFF"/>
                <w:lang w:val="en-US" w:eastAsia="zh-CN" w:bidi="ar"/>
              </w:rPr>
              <w:t>（一）专项资金安排情况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20" w:lineRule="exact"/>
              <w:ind w:right="0"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资金拨付采取每季度预拨，年底根据第三方绩效考核结果和绩效方案进行奖惩。</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20" w:lineRule="exact"/>
              <w:ind w:right="0" w:rightChars="0" w:firstLine="643" w:firstLineChars="200"/>
              <w:jc w:val="both"/>
              <w:textAlignment w:val="auto"/>
              <w:rPr>
                <w:rFonts w:hint="eastAsia" w:ascii="楷体" w:hAnsi="楷体" w:eastAsia="楷体" w:cs="楷体"/>
                <w:b/>
                <w:bCs/>
                <w:i w:val="0"/>
                <w:caps w:val="0"/>
                <w:color w:val="333333"/>
                <w:spacing w:val="0"/>
                <w:kern w:val="0"/>
                <w:sz w:val="32"/>
                <w:szCs w:val="32"/>
                <w:shd w:val="clear" w:color="auto" w:fill="FFFFFF"/>
                <w:lang w:val="en-US" w:eastAsia="zh-CN" w:bidi="ar"/>
              </w:rPr>
            </w:pPr>
            <w:r>
              <w:rPr>
                <w:rFonts w:hint="eastAsia" w:ascii="楷体" w:hAnsi="楷体" w:eastAsia="楷体" w:cs="楷体"/>
                <w:b/>
                <w:bCs/>
                <w:i w:val="0"/>
                <w:caps w:val="0"/>
                <w:color w:val="333333"/>
                <w:spacing w:val="0"/>
                <w:kern w:val="0"/>
                <w:sz w:val="32"/>
                <w:szCs w:val="32"/>
                <w:shd w:val="clear" w:color="auto" w:fill="FFFFFF"/>
                <w:lang w:val="en-US" w:eastAsia="zh-CN" w:bidi="ar"/>
              </w:rPr>
              <w:t>（二）专项资金使用情况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20" w:lineRule="exact"/>
              <w:ind w:right="0" w:firstLine="640" w:firstLineChars="200"/>
              <w:jc w:val="both"/>
              <w:textAlignment w:val="auto"/>
              <w:rPr>
                <w:rFonts w:hint="default" w:ascii="仿宋" w:hAnsi="仿宋" w:eastAsia="仿宋" w:cs="仿宋"/>
                <w:i w:val="0"/>
                <w:caps w:val="0"/>
                <w:color w:val="333333"/>
                <w:spacing w:val="0"/>
                <w:kern w:val="0"/>
                <w:sz w:val="32"/>
                <w:szCs w:val="32"/>
                <w:shd w:val="clear" w:color="auto" w:fill="FFFFFF"/>
                <w:lang w:val="en-US" w:eastAsia="zh-CN" w:bidi="ar"/>
              </w:rPr>
            </w:pPr>
            <w:r>
              <w:rPr>
                <w:rFonts w:hint="eastAsia" w:ascii="仿宋" w:hAnsi="仿宋" w:eastAsia="仿宋" w:cs="仿宋"/>
                <w:i w:val="0"/>
                <w:caps w:val="0"/>
                <w:color w:val="333333"/>
                <w:spacing w:val="0"/>
                <w:kern w:val="0"/>
                <w:sz w:val="32"/>
                <w:szCs w:val="32"/>
                <w:shd w:val="clear" w:color="auto" w:fill="FFFFFF"/>
                <w:lang w:val="en-US" w:eastAsia="zh-CN" w:bidi="ar"/>
              </w:rPr>
              <w:t>（1） 人均经费落实情况。</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我区预算经费按常住人口15.3657万，人均84元，按政策中央、省、县应筹集专项补助资金1290.72万元。2022年上级财政投入1175.73万元，区级财政配套126万元，结转结余4.8万元，共计1306.53万元。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20" w:lineRule="exact"/>
              <w:ind w:right="0"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 w:hAnsi="仿宋" w:eastAsia="仿宋" w:cs="仿宋"/>
                <w:i w:val="0"/>
                <w:caps w:val="0"/>
                <w:color w:val="333333"/>
                <w:spacing w:val="0"/>
                <w:kern w:val="0"/>
                <w:sz w:val="32"/>
                <w:szCs w:val="32"/>
                <w:shd w:val="clear" w:color="auto" w:fill="FFFFFF"/>
                <w:lang w:val="en-US" w:eastAsia="zh-CN" w:bidi="ar"/>
              </w:rPr>
              <w:t>（2）项目资金拨付情况。原基本公卫项目经费（12项）</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全年分6次下拨1178.24万元至镇卫生院、街道社区卫生服务中心。3月第一次拨付300万元、6月第二次拨付340万元、7月第三次拨付8万元、10月第四次拨付230万元、12月第五次拨付234万元、2023年1月16日拨付66.24万元。上半年共计拨付640万元，占全年总经费的54.31%，6次共拨付1178.24万元。原重大公共卫生项目9元部分，全年拨付区疾控中心38.94万元，全年拨付区妇幼保健院64.98万元，全年拨付卫生计生综合监督执法局24.37万元，共拨付128.29万元。总计拨付1306.53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20" w:lineRule="exact"/>
              <w:ind w:right="0" w:firstLine="643" w:firstLineChars="200"/>
              <w:jc w:val="both"/>
              <w:textAlignment w:val="auto"/>
              <w:rPr>
                <w:rFonts w:hint="eastAsia" w:ascii="楷体" w:hAnsi="楷体" w:eastAsia="楷体" w:cs="楷体"/>
                <w:b/>
                <w:bCs/>
                <w:i w:val="0"/>
                <w:caps w:val="0"/>
                <w:color w:val="333333"/>
                <w:spacing w:val="0"/>
                <w:kern w:val="0"/>
                <w:sz w:val="32"/>
                <w:szCs w:val="32"/>
                <w:shd w:val="clear" w:color="auto" w:fill="FFFFFF"/>
                <w:lang w:val="en-US" w:eastAsia="zh-CN" w:bidi="ar"/>
              </w:rPr>
            </w:pPr>
            <w:r>
              <w:rPr>
                <w:rFonts w:hint="eastAsia" w:ascii="楷体" w:hAnsi="楷体" w:eastAsia="楷体" w:cs="楷体"/>
                <w:b/>
                <w:bCs/>
                <w:i w:val="0"/>
                <w:caps w:val="0"/>
                <w:color w:val="333333"/>
                <w:spacing w:val="0"/>
                <w:kern w:val="0"/>
                <w:sz w:val="32"/>
                <w:szCs w:val="32"/>
                <w:shd w:val="clear" w:color="auto" w:fill="FFFFFF"/>
                <w:lang w:val="en-US" w:eastAsia="zh-CN" w:bidi="ar"/>
              </w:rPr>
              <w:t>（三）专项资金绩效情况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20" w:lineRule="exact"/>
              <w:ind w:right="0"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我区共建立居民健康档案147619人，建档率96.96%；儿童健康管理率93.17%；老年人健康管理率66.39%；高血压患者管理人数14466人，规范管理率66.67%；2型糖尿病患者管理人数5199人，规范管理率65.19%；老年人中医药健康管理率75.81%；儿童中医药健康管理率82.88%；严重精神障碍患者规范管理率90.88%；肺结核患者管理率100%；传染病和突发公共卫生事件报告率100%；服务对象综合知晓率50%；服务对象满意度较上年提高；基本公共卫生服务水平不断提高，城乡居民公共卫生差距逐步缩小。自评得分为100分，自评财政支出绩效为“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20" w:lineRule="exact"/>
              <w:ind w:right="0" w:firstLine="640" w:firstLineChars="200"/>
              <w:jc w:val="both"/>
              <w:textAlignment w:val="auto"/>
              <w:rPr>
                <w:rFonts w:hint="eastAsia" w:ascii="黑体" w:hAnsi="黑体" w:eastAsia="黑体" w:cs="黑体"/>
                <w:i w:val="0"/>
                <w:caps w:val="0"/>
                <w:color w:val="333333"/>
                <w:spacing w:val="0"/>
                <w:kern w:val="0"/>
                <w:sz w:val="32"/>
                <w:szCs w:val="32"/>
                <w:shd w:val="clear" w:color="auto" w:fill="FFFFFF"/>
                <w:lang w:val="en-US" w:eastAsia="zh-CN" w:bidi="ar"/>
              </w:rPr>
            </w:pPr>
            <w:r>
              <w:rPr>
                <w:rFonts w:hint="eastAsia" w:ascii="黑体" w:hAnsi="黑体" w:eastAsia="黑体" w:cs="黑体"/>
                <w:i w:val="0"/>
                <w:caps w:val="0"/>
                <w:color w:val="333333"/>
                <w:spacing w:val="0"/>
                <w:kern w:val="0"/>
                <w:sz w:val="32"/>
                <w:szCs w:val="32"/>
                <w:shd w:val="clear" w:color="auto" w:fill="FFFFFF"/>
                <w:lang w:val="en-US" w:eastAsia="zh-CN" w:bidi="ar"/>
              </w:rPr>
              <w:t>三、主要做法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20" w:lineRule="exact"/>
              <w:ind w:right="0" w:firstLine="643" w:firstLineChars="200"/>
              <w:jc w:val="both"/>
              <w:textAlignment w:val="auto"/>
              <w:rPr>
                <w:rFonts w:hint="eastAsia" w:ascii="仿宋" w:hAnsi="仿宋" w:eastAsia="仿宋" w:cs="仿宋"/>
                <w:i w:val="0"/>
                <w:caps w:val="0"/>
                <w:color w:val="333333"/>
                <w:spacing w:val="0"/>
                <w:kern w:val="0"/>
                <w:sz w:val="32"/>
                <w:szCs w:val="32"/>
                <w:shd w:val="clear" w:color="auto" w:fill="FFFFFF"/>
                <w:lang w:val="en-US" w:eastAsia="zh-CN" w:bidi="ar"/>
              </w:rPr>
            </w:pPr>
            <w:r>
              <w:rPr>
                <w:rFonts w:hint="eastAsia" w:ascii="楷体" w:hAnsi="楷体" w:eastAsia="楷体" w:cs="楷体"/>
                <w:b/>
                <w:bCs/>
                <w:i w:val="0"/>
                <w:caps w:val="0"/>
                <w:color w:val="333333"/>
                <w:spacing w:val="0"/>
                <w:kern w:val="0"/>
                <w:sz w:val="32"/>
                <w:szCs w:val="32"/>
                <w:shd w:val="clear" w:color="auto" w:fill="FFFFFF"/>
                <w:lang w:val="en-US" w:eastAsia="zh-CN" w:bidi="ar"/>
              </w:rPr>
              <w:t>（一）加强组织领导，强化项目管理。</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区卫健局和区级专业指导机构每季度对基层医疗卫生机构开展工作督查，每半年开展全面考核，加强日常管理，不定期抽查各项目执行情况，随时通报，立行立改。区卫健局每年年终对专业指导机构进行全面考核。各基层医疗卫生机构把基本公共卫生服务项目作为重点工作抓</w:t>
            </w:r>
            <w:bookmarkStart w:id="0" w:name="_GoBack"/>
            <w:bookmarkEnd w:id="0"/>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，成立了以分管副职担任公卫办主任的组织机构，规范了项目管理办公区，加强了科室设置，强化公共卫生责任，突出了群体服务功能。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20" w:lineRule="exact"/>
              <w:ind w:right="0" w:firstLine="643" w:firstLineChars="200"/>
              <w:jc w:val="both"/>
              <w:textAlignment w:val="auto"/>
              <w:rPr>
                <w:rFonts w:hint="eastAsia" w:ascii="仿宋" w:hAnsi="仿宋" w:eastAsia="仿宋" w:cs="仿宋"/>
                <w:i w:val="0"/>
                <w:caps w:val="0"/>
                <w:color w:val="333333"/>
                <w:spacing w:val="0"/>
                <w:kern w:val="0"/>
                <w:sz w:val="32"/>
                <w:szCs w:val="32"/>
                <w:shd w:val="clear" w:color="auto" w:fill="FFFFFF"/>
                <w:lang w:val="en-US" w:eastAsia="zh-CN" w:bidi="ar"/>
              </w:rPr>
            </w:pPr>
            <w:r>
              <w:rPr>
                <w:rFonts w:hint="eastAsia" w:ascii="楷体" w:hAnsi="楷体" w:eastAsia="楷体" w:cs="楷体"/>
                <w:b/>
                <w:bCs/>
                <w:i w:val="0"/>
                <w:caps w:val="0"/>
                <w:color w:val="333333"/>
                <w:spacing w:val="0"/>
                <w:kern w:val="0"/>
                <w:sz w:val="32"/>
                <w:szCs w:val="32"/>
                <w:shd w:val="clear" w:color="auto" w:fill="FFFFFF"/>
                <w:lang w:val="en-US" w:eastAsia="zh-CN" w:bidi="ar"/>
              </w:rPr>
              <w:t>（二）强化疫情防控管理，广泛宣传家医签约服务。</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根据各基层医疗卫生机构分布，要求每个辖区内至少要有2个及以上家庭医生团队，要确保所有居民均能得到服务体系覆盖。自5月19日“世界家庭医生日”开始，在全区范围内广泛开展</w:t>
            </w:r>
            <w:r>
              <w:rPr>
                <w:rFonts w:hint="eastAsia" w:ascii="仿宋_GB2312" w:hAnsi="仿宋_GB2312" w:eastAsia="仿宋_GB2312" w:cs="仿宋_GB2312"/>
                <w:b w:val="0"/>
                <w:i w:val="0"/>
                <w:caps w:val="0"/>
                <w:color w:val="000000"/>
                <w:spacing w:val="0"/>
                <w:sz w:val="32"/>
                <w:szCs w:val="32"/>
                <w:shd w:val="clear" w:color="auto" w:fill="FFFFFF"/>
              </w:rPr>
              <w:t>“</w:t>
            </w:r>
            <w:r>
              <w:rPr>
                <w:rFonts w:hint="eastAsia" w:ascii="仿宋_GB2312" w:hAnsi="仿宋_GB2312" w:eastAsia="仿宋_GB2312" w:cs="仿宋_GB2312"/>
                <w:b w:val="0"/>
                <w:i w:val="0"/>
                <w:caps w:val="0"/>
                <w:color w:val="000000"/>
                <w:spacing w:val="0"/>
                <w:sz w:val="32"/>
                <w:szCs w:val="32"/>
                <w:shd w:val="clear" w:color="auto" w:fill="FFFFFF"/>
                <w:lang w:eastAsia="zh-CN"/>
              </w:rPr>
              <w:t>家庭医生</w:t>
            </w:r>
            <w:r>
              <w:rPr>
                <w:rFonts w:hint="eastAsia" w:ascii="仿宋_GB2312" w:hAnsi="仿宋_GB2312" w:eastAsia="仿宋_GB2312" w:cs="仿宋_GB2312"/>
                <w:b w:val="0"/>
                <w:i w:val="0"/>
                <w:caps w:val="0"/>
                <w:color w:val="000000"/>
                <w:spacing w:val="0"/>
                <w:sz w:val="32"/>
                <w:szCs w:val="32"/>
                <w:shd w:val="clear" w:color="auto" w:fill="FFFFFF"/>
                <w:lang w:val="en-US" w:eastAsia="zh-CN"/>
              </w:rPr>
              <w:t>，守候</w:t>
            </w:r>
            <w:r>
              <w:rPr>
                <w:rFonts w:hint="eastAsia" w:ascii="仿宋_GB2312" w:hAnsi="仿宋_GB2312" w:eastAsia="仿宋_GB2312" w:cs="仿宋_GB2312"/>
                <w:b w:val="0"/>
                <w:i w:val="0"/>
                <w:caps w:val="0"/>
                <w:color w:val="000000"/>
                <w:spacing w:val="0"/>
                <w:sz w:val="32"/>
                <w:szCs w:val="32"/>
                <w:shd w:val="clear" w:color="auto" w:fill="FFFFFF"/>
                <w:lang w:eastAsia="zh-CN"/>
              </w:rPr>
              <w:t>您健康的朋友</w:t>
            </w:r>
            <w:r>
              <w:rPr>
                <w:rFonts w:hint="eastAsia" w:ascii="仿宋_GB2312" w:hAnsi="仿宋_GB2312" w:eastAsia="仿宋_GB2312" w:cs="仿宋_GB2312"/>
                <w:b w:val="0"/>
                <w:i w:val="0"/>
                <w:caps w:val="0"/>
                <w:color w:val="000000"/>
                <w:spacing w:val="0"/>
                <w:sz w:val="32"/>
                <w:szCs w:val="32"/>
                <w:shd w:val="clear" w:color="auto" w:fill="FFFFFF"/>
              </w:rPr>
              <w:t>”</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为主题的活动。各宣传点现场解读家庭医生签约服务和国家基本公共卫生服务项目的组织形式、服务内容、服务模式和服务获得渠道，引导居民了解、支持签约服务、主动签(续)约、主动接受国家基本公共卫生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20" w:lineRule="exact"/>
              <w:ind w:right="0" w:firstLine="643" w:firstLineChars="200"/>
              <w:jc w:val="both"/>
              <w:textAlignment w:val="auto"/>
              <w:rPr>
                <w:rFonts w:hint="eastAsia" w:ascii="仿宋" w:hAnsi="仿宋" w:eastAsia="仿宋" w:cs="仿宋"/>
                <w:i w:val="0"/>
                <w:caps w:val="0"/>
                <w:color w:val="333333"/>
                <w:spacing w:val="0"/>
                <w:kern w:val="0"/>
                <w:sz w:val="32"/>
                <w:szCs w:val="32"/>
                <w:shd w:val="clear" w:color="auto" w:fill="FFFFFF"/>
                <w:lang w:val="en-US" w:eastAsia="zh-CN" w:bidi="ar"/>
              </w:rPr>
            </w:pPr>
            <w:r>
              <w:rPr>
                <w:rFonts w:hint="eastAsia" w:ascii="楷体" w:hAnsi="楷体" w:eastAsia="楷体" w:cs="楷体"/>
                <w:b/>
                <w:bCs/>
                <w:i w:val="0"/>
                <w:caps w:val="0"/>
                <w:color w:val="333333"/>
                <w:spacing w:val="0"/>
                <w:kern w:val="0"/>
                <w:sz w:val="32"/>
                <w:szCs w:val="32"/>
                <w:shd w:val="clear" w:color="auto" w:fill="FFFFFF"/>
                <w:lang w:val="en-US" w:eastAsia="zh-CN" w:bidi="ar"/>
              </w:rPr>
              <w:t>（三）做好优质服务基层行活动。</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按照以评促建、以评促改的指导方针，各镇卫生院、社区卫生服务中心在医院管理水平、业务技术能力、医疗装备条件、医疗服务质量等方面都上了一个新台阶，目前路口镇中心卫生院达到推荐标准，其他单位达到基本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20" w:lineRule="exact"/>
              <w:ind w:right="0" w:firstLine="643" w:firstLineChars="200"/>
              <w:jc w:val="both"/>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楷体" w:hAnsi="楷体" w:eastAsia="楷体" w:cs="楷体"/>
                <w:b/>
                <w:bCs/>
                <w:i w:val="0"/>
                <w:caps w:val="0"/>
                <w:color w:val="333333"/>
                <w:spacing w:val="0"/>
                <w:kern w:val="0"/>
                <w:sz w:val="32"/>
                <w:szCs w:val="32"/>
                <w:shd w:val="clear" w:color="auto" w:fill="FFFFFF"/>
                <w:lang w:val="en-US" w:eastAsia="zh-CN" w:bidi="ar"/>
              </w:rPr>
              <w:t>（四）基本公卫专业人员培训学习。</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为进一步提升我区基本公共卫生服务项目业务水平，2022年11月邀请市级专家组织开展了全区基本公共卫生服务项目培训，对全区各镇（街道）卫生院和社区卫生服务（站）分管公卫领导、全体公卫人员、乡村医生及区直公卫指导机构相关人员进行为期2天的培训。培训内容包括基本公共卫生服务项目、疫情防控相关知识，通过此次培训使我区基本公共卫生项目服务水平整体得到了提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20" w:lineRule="exact"/>
              <w:ind w:right="0"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组织参加全市基层卫生人才能力提升培训。3名基层单位骨干力量参加市级培训，督促学员按时打卡，对缺勤人员进行通报，并作情况说明。安排6名村医到区人民医院和云溪街道社区卫生服务中心进行科室转岗培训，目前区人民医院转岗已完成。</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20" w:lineRule="exact"/>
              <w:ind w:right="0" w:rightChars="0" w:firstLine="643" w:firstLineChars="200"/>
              <w:jc w:val="both"/>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楷体" w:hAnsi="楷体" w:eastAsia="楷体" w:cs="楷体"/>
                <w:b/>
                <w:bCs/>
                <w:i w:val="0"/>
                <w:caps w:val="0"/>
                <w:color w:val="333333"/>
                <w:spacing w:val="0"/>
                <w:kern w:val="0"/>
                <w:sz w:val="32"/>
                <w:szCs w:val="32"/>
                <w:shd w:val="clear" w:color="auto" w:fill="FFFFFF"/>
                <w:lang w:val="en-US" w:eastAsia="zh-CN" w:bidi="ar"/>
              </w:rPr>
              <w:t>（五）全面落实基层医疗单位疫情防控工作。</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对5家（包括道仁矶分院）基层医疗单位的联防联控措施落实情况进行专项督查，要求各基层医疗单位严格落实疫情防控措施。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20" w:lineRule="exact"/>
              <w:ind w:right="0" w:rightChars="0" w:firstLine="643" w:firstLineChars="200"/>
              <w:jc w:val="both"/>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楷体" w:hAnsi="楷体" w:eastAsia="楷体" w:cs="楷体"/>
                <w:b/>
                <w:bCs/>
                <w:i w:val="0"/>
                <w:caps w:val="0"/>
                <w:color w:val="333333"/>
                <w:spacing w:val="0"/>
                <w:kern w:val="0"/>
                <w:sz w:val="32"/>
                <w:szCs w:val="32"/>
                <w:shd w:val="clear" w:color="auto" w:fill="FFFFFF"/>
                <w:lang w:val="en-US" w:eastAsia="zh-CN" w:bidi="ar"/>
              </w:rPr>
              <w:t>（六）是做好基层医疗机构人才本土化培养工作。</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2022年已招录6人，其中护理学1人，临床医学2人，医学检验技术1人，预防医学1人，药学1人；学成毕业成绩合格后安排在基层工作。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20" w:lineRule="exact"/>
              <w:ind w:right="0" w:firstLine="640" w:firstLineChars="200"/>
              <w:jc w:val="both"/>
              <w:textAlignment w:val="auto"/>
              <w:rPr>
                <w:rFonts w:hint="eastAsia" w:ascii="黑体" w:hAnsi="黑体" w:eastAsia="黑体" w:cs="黑体"/>
                <w:i w:val="0"/>
                <w:caps w:val="0"/>
                <w:color w:val="333333"/>
                <w:spacing w:val="0"/>
                <w:kern w:val="0"/>
                <w:sz w:val="32"/>
                <w:szCs w:val="32"/>
                <w:shd w:val="clear" w:color="auto" w:fill="FFFFFF"/>
                <w:lang w:val="en-US" w:eastAsia="zh-CN" w:bidi="ar"/>
              </w:rPr>
            </w:pPr>
            <w:r>
              <w:rPr>
                <w:rFonts w:hint="eastAsia" w:ascii="黑体" w:hAnsi="黑体" w:eastAsia="黑体" w:cs="黑体"/>
                <w:i w:val="0"/>
                <w:caps w:val="0"/>
                <w:color w:val="333333"/>
                <w:spacing w:val="0"/>
                <w:kern w:val="0"/>
                <w:sz w:val="32"/>
                <w:szCs w:val="32"/>
                <w:shd w:val="clear" w:color="auto" w:fill="FFFFFF"/>
                <w:lang w:val="en-US" w:eastAsia="zh-CN" w:bidi="ar"/>
              </w:rPr>
              <w:t>四、存在的问题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20" w:lineRule="exact"/>
              <w:ind w:right="0" w:firstLine="643" w:firstLineChars="200"/>
              <w:jc w:val="both"/>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t>（一）人员紧缺。</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各单位普遍存在人才缺乏，专干流动性大，公卫人员身兼数职。造成专干不专，业务不熟，影响了基本公共卫生服务项目的开展进度。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20" w:lineRule="exact"/>
              <w:ind w:right="0" w:firstLine="643" w:firstLineChars="200"/>
              <w:jc w:val="both"/>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t>（二）基本公卫项目内容不规范。</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一是档案不合格现象，缺漏项、部分体检表、随访记录不符合规范要求；二是电子健康档案动态开放率不高，重点人群管理信息记录不完善，相关资料收集不齐全、不及时，有的内容不规范。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20" w:lineRule="exact"/>
              <w:ind w:right="0" w:firstLine="640" w:firstLineChars="200"/>
              <w:jc w:val="both"/>
              <w:textAlignment w:val="auto"/>
              <w:rPr>
                <w:rFonts w:hint="eastAsia" w:ascii="黑体" w:hAnsi="黑体" w:eastAsia="黑体" w:cs="黑体"/>
                <w:i w:val="0"/>
                <w:caps w:val="0"/>
                <w:color w:val="333333"/>
                <w:spacing w:val="0"/>
                <w:kern w:val="0"/>
                <w:sz w:val="32"/>
                <w:szCs w:val="32"/>
                <w:shd w:val="clear" w:color="auto" w:fill="FFFFFF"/>
                <w:lang w:val="en-US" w:eastAsia="zh-CN" w:bidi="ar"/>
              </w:rPr>
            </w:pPr>
            <w:r>
              <w:rPr>
                <w:rFonts w:hint="eastAsia" w:ascii="黑体" w:hAnsi="黑体" w:eastAsia="黑体" w:cs="黑体"/>
                <w:i w:val="0"/>
                <w:caps w:val="0"/>
                <w:color w:val="333333"/>
                <w:spacing w:val="0"/>
                <w:kern w:val="0"/>
                <w:sz w:val="32"/>
                <w:szCs w:val="32"/>
                <w:shd w:val="clear" w:color="auto" w:fill="FFFFFF"/>
                <w:lang w:val="en-US" w:eastAsia="zh-CN" w:bidi="ar"/>
              </w:rPr>
              <w:t>五、工作建议</w:t>
            </w:r>
          </w:p>
          <w:p>
            <w:pPr>
              <w:keepNext w:val="0"/>
              <w:keepLines w:val="0"/>
              <w:pageBreakBefore w:val="0"/>
              <w:widowControl w:val="0"/>
              <w:kinsoku/>
              <w:wordWrap/>
              <w:overflowPunct/>
              <w:topLinePunct/>
              <w:autoSpaceDE/>
              <w:autoSpaceDN/>
              <w:bidi w:val="0"/>
              <w:adjustRightInd/>
              <w:snapToGrid/>
              <w:spacing w:beforeAutospacing="0" w:afterAutospacing="0"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1、加大对基层医疗卫生机构</w:t>
            </w:r>
            <w:r>
              <w:rPr>
                <w:rFonts w:hint="eastAsia" w:ascii="仿宋_GB2312" w:hAnsi="仿宋_GB2312" w:eastAsia="仿宋_GB2312" w:cs="仿宋_GB2312"/>
                <w:sz w:val="32"/>
                <w:szCs w:val="32"/>
                <w:lang w:val="en-US" w:eastAsia="zh-CN"/>
              </w:rPr>
              <w:t>服务人员培训力度，采取中长培训、临床进修、全科医生规范培训方式，有计划地组织市、区级医院医生下沉到一线，定期到基层坐诊，面对面教学，提高公共卫生服务人员专业化水平和职业道德。</w:t>
            </w:r>
          </w:p>
          <w:p>
            <w:pPr>
              <w:keepNext w:val="0"/>
              <w:keepLines w:val="0"/>
              <w:pageBreakBefore w:val="0"/>
              <w:widowControl w:val="0"/>
              <w:kinsoku/>
              <w:wordWrap/>
              <w:overflowPunct/>
              <w:topLinePunct/>
              <w:autoSpaceDE/>
              <w:autoSpaceDN/>
              <w:bidi w:val="0"/>
              <w:adjustRightInd/>
              <w:snapToGrid/>
              <w:spacing w:beforeAutospacing="0" w:afterAutospacing="0" w:line="360" w:lineRule="auto"/>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将政府对</w:t>
            </w:r>
            <w:r>
              <w:rPr>
                <w:rFonts w:hint="eastAsia" w:ascii="仿宋_GB2312" w:hAnsi="仿宋_GB2312" w:eastAsia="仿宋_GB2312" w:cs="仿宋_GB2312"/>
                <w:sz w:val="32"/>
                <w:szCs w:val="32"/>
              </w:rPr>
              <w:t>基层医疗卫生机构</w:t>
            </w:r>
            <w:r>
              <w:rPr>
                <w:rFonts w:hint="eastAsia" w:ascii="仿宋_GB2312" w:hAnsi="仿宋_GB2312" w:eastAsia="仿宋_GB2312" w:cs="仿宋_GB2312"/>
                <w:sz w:val="32"/>
                <w:szCs w:val="32"/>
                <w:lang w:eastAsia="zh-CN"/>
              </w:rPr>
              <w:t>一类财政保障、</w:t>
            </w:r>
            <w:r>
              <w:rPr>
                <w:rFonts w:hint="eastAsia" w:ascii="仿宋_GB2312" w:hAnsi="仿宋_GB2312" w:eastAsia="仿宋_GB2312" w:cs="仿宋_GB2312"/>
                <w:sz w:val="32"/>
                <w:szCs w:val="32"/>
              </w:rPr>
              <w:t>人才保障措施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落实绩效工作机制</w:t>
            </w:r>
            <w:r>
              <w:rPr>
                <w:rFonts w:hint="eastAsia" w:ascii="仿宋_GB2312" w:hAnsi="仿宋_GB2312" w:eastAsia="仿宋_GB2312" w:cs="仿宋_GB2312"/>
                <w:sz w:val="32"/>
                <w:szCs w:val="32"/>
                <w:lang w:eastAsia="zh-CN"/>
              </w:rPr>
              <w:t>等纳入对当地政府的考核内容。</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textAlignment w:val="auto"/>
              <w:rPr>
                <w:rFonts w:eastAsia="仿宋_GB2312"/>
                <w:sz w:val="24"/>
                <w:szCs w:val="24"/>
              </w:rPr>
            </w:pPr>
          </w:p>
          <w:p>
            <w:pPr>
              <w:keepNext w:val="0"/>
              <w:keepLines w:val="0"/>
              <w:pageBreakBefore w:val="0"/>
              <w:kinsoku/>
              <w:overflowPunct/>
              <w:topLinePunct w:val="0"/>
              <w:autoSpaceDE/>
              <w:bidi w:val="0"/>
              <w:spacing w:line="540" w:lineRule="exact"/>
              <w:rPr>
                <w:rFonts w:eastAsia="楷体_GB2312"/>
                <w:bCs/>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宋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原版宋体">
    <w:altName w:val="宋体"/>
    <w:panose1 w:val="02010600030101010101"/>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3YzgyMmIwMDU0ZTBkZjA2MjViZTYzNDNiYzQ0MGMifQ=="/>
  </w:docVars>
  <w:rsids>
    <w:rsidRoot w:val="5ECA6C88"/>
    <w:rsid w:val="0AC0026F"/>
    <w:rsid w:val="13210228"/>
    <w:rsid w:val="27D729F1"/>
    <w:rsid w:val="575E0670"/>
    <w:rsid w:val="5ECA6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99"/>
    <w:pPr>
      <w:tabs>
        <w:tab w:val="center" w:pos="4153"/>
        <w:tab w:val="right" w:pos="8306"/>
      </w:tabs>
      <w:snapToGrid w:val="0"/>
      <w:jc w:val="left"/>
    </w:pPr>
    <w:rPr>
      <w:sz w:val="18"/>
      <w:szCs w:val="18"/>
    </w:rPr>
  </w:style>
  <w:style w:type="paragraph" w:styleId="3">
    <w:name w:val="index 5"/>
    <w:basedOn w:val="1"/>
    <w:next w:val="1"/>
    <w:qFormat/>
    <w:uiPriority w:val="99"/>
    <w:pPr>
      <w:ind w:left="1680"/>
    </w:pPr>
    <w:rPr>
      <w:sz w:val="21"/>
      <w:szCs w:val="24"/>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7">
    <w:name w:val="BodyText1I"/>
    <w:basedOn w:val="1"/>
    <w:qFormat/>
    <w:uiPriority w:val="99"/>
    <w:pPr>
      <w:snapToGrid w:val="0"/>
      <w:spacing w:line="360" w:lineRule="auto"/>
      <w:ind w:firstLine="420" w:firstLineChars="100"/>
    </w:pPr>
    <w:rPr>
      <w:sz w:val="28"/>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3297</Words>
  <Characters>3737</Characters>
  <Lines>0</Lines>
  <Paragraphs>0</Paragraphs>
  <TotalTime>1</TotalTime>
  <ScaleCrop>false</ScaleCrop>
  <LinksUpToDate>false</LinksUpToDate>
  <CharactersWithSpaces>3930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2023-06-21T07:34:00Z</dcterms:created>
  <dc:creator>d11</dc:creator>
  <cp:lastModifiedBy>杏林伊人</cp:lastModifiedBy>
  <dcterms:modified xsi:type="dcterms:W3CDTF">2023-07-25T09:02:24Z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D8BAB4ADDA4449D59D6011638565EA04_13</vt:lpwstr>
  </property>
</Properties>
</file>