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hint="eastAsia" w:eastAsia="黑体" w:cs="黑体"/>
          <w:bCs/>
          <w:sz w:val="32"/>
          <w:szCs w:val="32"/>
        </w:rPr>
      </w:pPr>
    </w:p>
    <w:p>
      <w:pPr>
        <w:spacing w:line="348" w:lineRule="auto"/>
        <w:rPr>
          <w:rFonts w:hint="eastAsia" w:eastAsia="黑体" w:cs="黑体"/>
          <w:bCs/>
          <w:sz w:val="32"/>
          <w:szCs w:val="32"/>
        </w:rPr>
      </w:pPr>
    </w:p>
    <w:p>
      <w:pPr>
        <w:spacing w:before="156" w:beforeLines="50" w:line="348" w:lineRule="auto"/>
        <w:jc w:val="center"/>
        <w:rPr>
          <w:rFonts w:hint="eastAsia"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岳阳市云溪区财政支出绩效评价自评报告</w:t>
      </w:r>
    </w:p>
    <w:p>
      <w:pPr>
        <w:rPr>
          <w:rFonts w:hint="eastAsia" w:eastAsia="仿宋_GB2312"/>
          <w:b/>
          <w:sz w:val="32"/>
        </w:rPr>
      </w:pPr>
    </w:p>
    <w:p>
      <w:pPr>
        <w:rPr>
          <w:rFonts w:hint="eastAsia" w:eastAsia="仿宋_GB2312"/>
          <w:b/>
          <w:sz w:val="32"/>
        </w:rPr>
      </w:pPr>
    </w:p>
    <w:p>
      <w:pPr>
        <w:spacing w:line="760" w:lineRule="exact"/>
        <w:ind w:firstLine="470" w:firstLineChars="147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评价类型：项目实施过程评价</w:t>
      </w:r>
      <w:r>
        <w:rPr>
          <w:rFonts w:hint="eastAsia" w:eastAsia="仿宋_GB2312"/>
          <w:sz w:val="32"/>
          <w:szCs w:val="32"/>
        </w:rPr>
        <w:sym w:font="Wingdings 2" w:char="0052"/>
      </w:r>
      <w:r>
        <w:rPr>
          <w:rFonts w:hint="eastAsia" w:eastAsia="仿宋_GB2312"/>
          <w:sz w:val="32"/>
          <w:szCs w:val="32"/>
        </w:rPr>
        <w:t xml:space="preserve">   项目完成结果评价□</w:t>
      </w:r>
    </w:p>
    <w:p>
      <w:pPr>
        <w:spacing w:before="156" w:beforeLines="50" w:line="760" w:lineRule="exact"/>
        <w:ind w:firstLine="480" w:firstLineChars="150"/>
        <w:rPr>
          <w:rFonts w:hint="eastAsia" w:eastAsia="仿宋_GB2312"/>
          <w:sz w:val="32"/>
          <w:u w:val="single"/>
        </w:rPr>
      </w:pPr>
      <w:r>
        <w:rPr>
          <w:rFonts w:hint="eastAsia" w:eastAsia="仿宋_GB2312"/>
          <w:sz w:val="32"/>
        </w:rPr>
        <w:t>项目名称：</w:t>
      </w:r>
      <w:r>
        <w:rPr>
          <w:rFonts w:hint="eastAsia" w:eastAsia="仿宋_GB2312"/>
          <w:sz w:val="32"/>
          <w:u w:val="single"/>
        </w:rPr>
        <w:t xml:space="preserve">         </w:t>
      </w:r>
      <w:r>
        <w:rPr>
          <w:rFonts w:hint="eastAsia" w:eastAsia="仿宋_GB2312"/>
          <w:sz w:val="32"/>
          <w:u w:val="single"/>
          <w:lang w:eastAsia="zh-CN"/>
        </w:rPr>
        <w:t>云溪区生猪退养</w:t>
      </w:r>
      <w:r>
        <w:rPr>
          <w:rFonts w:hint="eastAsia" w:eastAsia="仿宋_GB2312"/>
          <w:sz w:val="32"/>
          <w:u w:val="single"/>
        </w:rPr>
        <w:t xml:space="preserve">                      </w:t>
      </w:r>
    </w:p>
    <w:p>
      <w:pPr>
        <w:spacing w:before="156" w:beforeLines="50" w:line="760" w:lineRule="exact"/>
        <w:ind w:firstLine="480" w:firstLineChars="15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项目单位：</w:t>
      </w:r>
      <w:r>
        <w:rPr>
          <w:rFonts w:hint="eastAsia" w:eastAsia="仿宋_GB2312"/>
          <w:sz w:val="32"/>
          <w:u w:val="single"/>
        </w:rPr>
        <w:t xml:space="preserve">       </w:t>
      </w:r>
      <w:r>
        <w:rPr>
          <w:rFonts w:hint="eastAsia" w:eastAsia="仿宋_GB2312"/>
          <w:sz w:val="32"/>
          <w:u w:val="single"/>
          <w:lang w:eastAsia="zh-CN"/>
        </w:rPr>
        <w:t>云溪区畜牧水产局</w:t>
      </w:r>
      <w:r>
        <w:rPr>
          <w:rFonts w:hint="eastAsia" w:eastAsia="仿宋_GB2312"/>
          <w:sz w:val="32"/>
          <w:u w:val="single"/>
        </w:rPr>
        <w:t xml:space="preserve">                                </w:t>
      </w:r>
    </w:p>
    <w:p>
      <w:pPr>
        <w:spacing w:before="156" w:beforeLines="50" w:line="760" w:lineRule="exact"/>
        <w:ind w:firstLine="480" w:firstLineChars="150"/>
        <w:rPr>
          <w:rFonts w:hint="eastAsia" w:eastAsia="仿宋_GB2312"/>
          <w:sz w:val="32"/>
          <w:u w:val="single"/>
        </w:rPr>
      </w:pPr>
      <w:r>
        <w:rPr>
          <w:rFonts w:hint="eastAsia" w:eastAsia="仿宋_GB2312"/>
          <w:sz w:val="32"/>
        </w:rPr>
        <w:t>主管部门：</w:t>
      </w:r>
      <w:r>
        <w:rPr>
          <w:rFonts w:hint="eastAsia" w:eastAsia="仿宋_GB2312"/>
          <w:sz w:val="32"/>
          <w:u w:val="single"/>
        </w:rPr>
        <w:t xml:space="preserve">          </w:t>
      </w:r>
      <w:r>
        <w:rPr>
          <w:rFonts w:hint="eastAsia" w:eastAsia="仿宋_GB2312"/>
          <w:sz w:val="32"/>
          <w:u w:val="single"/>
          <w:lang w:eastAsia="zh-CN"/>
        </w:rPr>
        <w:t>云溪区畜牧水产局</w:t>
      </w:r>
      <w:r>
        <w:rPr>
          <w:rFonts w:hint="eastAsia" w:eastAsia="仿宋_GB2312"/>
          <w:sz w:val="32"/>
          <w:u w:val="single"/>
        </w:rPr>
        <w:t xml:space="preserve">                         </w:t>
      </w:r>
    </w:p>
    <w:p>
      <w:pPr>
        <w:spacing w:before="156" w:beforeLines="50" w:line="760" w:lineRule="exact"/>
        <w:ind w:firstLine="480" w:firstLineChars="15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评价方式：</w:t>
      </w:r>
      <w:r>
        <w:rPr>
          <w:rFonts w:hint="eastAsia" w:eastAsia="仿宋_GB2312"/>
          <w:sz w:val="28"/>
          <w:szCs w:val="28"/>
        </w:rPr>
        <w:t>部门（单位）绩效自评</w:t>
      </w:r>
    </w:p>
    <w:p>
      <w:pPr>
        <w:spacing w:before="156" w:beforeLines="50" w:line="760" w:lineRule="exact"/>
        <w:ind w:firstLine="480" w:firstLineChars="15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32"/>
          <w:szCs w:val="32"/>
        </w:rPr>
        <w:t>评价机构：</w:t>
      </w:r>
      <w:r>
        <w:rPr>
          <w:rFonts w:hint="eastAsia" w:eastAsia="仿宋_GB2312"/>
          <w:sz w:val="28"/>
          <w:szCs w:val="28"/>
        </w:rPr>
        <w:t xml:space="preserve">部门（单位）评价组   </w:t>
      </w:r>
    </w:p>
    <w:p>
      <w:pPr>
        <w:spacing w:before="156" w:beforeLines="50" w:line="760" w:lineRule="exact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spacing w:before="156" w:beforeLines="50" w:line="348" w:lineRule="auto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spacing w:before="156" w:beforeLines="50" w:line="348" w:lineRule="auto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spacing w:before="156" w:beforeLines="50" w:line="120" w:lineRule="exact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spacing w:before="156" w:beforeLines="50" w:line="120" w:lineRule="exact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spacing w:before="156" w:beforeLines="50" w:line="120" w:lineRule="exact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spacing w:line="348" w:lineRule="auto"/>
        <w:jc w:val="center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报告日期：</w:t>
      </w:r>
      <w:r>
        <w:rPr>
          <w:rFonts w:hint="eastAsia" w:eastAsia="仿宋_GB2312"/>
          <w:sz w:val="32"/>
          <w:lang w:val="en-US" w:eastAsia="zh-CN"/>
        </w:rPr>
        <w:t>2019</w:t>
      </w:r>
      <w:r>
        <w:rPr>
          <w:rFonts w:hint="eastAsia" w:eastAsia="仿宋_GB2312"/>
          <w:sz w:val="32"/>
        </w:rPr>
        <w:t>年</w:t>
      </w:r>
      <w:r>
        <w:rPr>
          <w:rFonts w:hint="eastAsia" w:eastAsia="仿宋_GB2312"/>
          <w:sz w:val="32"/>
          <w:lang w:val="en-US" w:eastAsia="zh-CN"/>
        </w:rPr>
        <w:t>8</w:t>
      </w:r>
      <w:r>
        <w:rPr>
          <w:rFonts w:hint="eastAsia" w:eastAsia="仿宋_GB2312"/>
          <w:sz w:val="32"/>
        </w:rPr>
        <w:t>月</w:t>
      </w:r>
      <w:r>
        <w:rPr>
          <w:rFonts w:hint="eastAsia" w:eastAsia="仿宋_GB2312"/>
          <w:sz w:val="32"/>
          <w:lang w:val="en-US" w:eastAsia="zh-CN"/>
        </w:rPr>
        <w:t>1</w:t>
      </w:r>
      <w:r>
        <w:rPr>
          <w:rFonts w:hint="eastAsia" w:eastAsia="仿宋_GB2312"/>
          <w:sz w:val="32"/>
        </w:rPr>
        <w:t>日</w:t>
      </w:r>
    </w:p>
    <w:p>
      <w:pPr>
        <w:spacing w:line="348" w:lineRule="auto"/>
        <w:jc w:val="center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岳阳市云溪区财政局（制）</w:t>
      </w:r>
    </w:p>
    <w:p>
      <w:pPr>
        <w:spacing w:line="100" w:lineRule="exact"/>
        <w:jc w:val="center"/>
        <w:rPr>
          <w:rFonts w:hint="eastAsia" w:eastAsia="仿宋_GB2312"/>
          <w:sz w:val="32"/>
        </w:rPr>
      </w:pPr>
    </w:p>
    <w:p>
      <w:pPr>
        <w:spacing w:line="100" w:lineRule="exact"/>
        <w:jc w:val="center"/>
        <w:rPr>
          <w:rFonts w:hint="eastAsia" w:eastAsia="仿宋_GB2312"/>
          <w:sz w:val="32"/>
        </w:rPr>
      </w:pPr>
    </w:p>
    <w:p>
      <w:pPr>
        <w:spacing w:line="100" w:lineRule="exact"/>
        <w:jc w:val="center"/>
        <w:rPr>
          <w:rFonts w:hint="eastAsia" w:eastAsia="仿宋_GB2312"/>
          <w:sz w:val="32"/>
        </w:rPr>
      </w:pPr>
    </w:p>
    <w:tbl>
      <w:tblPr>
        <w:tblStyle w:val="2"/>
        <w:tblW w:w="95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89"/>
        <w:gridCol w:w="602"/>
        <w:gridCol w:w="118"/>
        <w:gridCol w:w="1800"/>
        <w:gridCol w:w="22"/>
        <w:gridCol w:w="392"/>
        <w:gridCol w:w="306"/>
        <w:gridCol w:w="562"/>
        <w:gridCol w:w="785"/>
        <w:gridCol w:w="297"/>
        <w:gridCol w:w="720"/>
        <w:gridCol w:w="1620"/>
        <w:gridCol w:w="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9582" w:type="dxa"/>
            <w:gridSpan w:val="14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一、项 目 基 本 概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项目负责人</w:t>
            </w:r>
          </w:p>
        </w:tc>
        <w:tc>
          <w:tcPr>
            <w:tcW w:w="3240" w:type="dxa"/>
            <w:gridSpan w:val="6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刘初见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3333" w:type="dxa"/>
            <w:gridSpan w:val="4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15073082229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项目地址</w:t>
            </w:r>
          </w:p>
        </w:tc>
        <w:tc>
          <w:tcPr>
            <w:tcW w:w="3240" w:type="dxa"/>
            <w:gridSpan w:val="6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岳阳市云溪区全区范围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  编</w:t>
            </w:r>
          </w:p>
        </w:tc>
        <w:tc>
          <w:tcPr>
            <w:tcW w:w="3333" w:type="dxa"/>
            <w:gridSpan w:val="4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414009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项目起止时间</w:t>
            </w:r>
          </w:p>
        </w:tc>
        <w:tc>
          <w:tcPr>
            <w:tcW w:w="7920" w:type="dxa"/>
            <w:gridSpan w:val="12"/>
            <w:vAlign w:val="center"/>
          </w:tcPr>
          <w:p>
            <w:pPr>
              <w:ind w:firstLine="1190" w:firstLineChars="496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2017</w:t>
            </w:r>
            <w:r>
              <w:rPr>
                <w:rFonts w:hint="eastAsia" w:eastAsia="仿宋_GB2312"/>
                <w:sz w:val="24"/>
              </w:rPr>
              <w:t xml:space="preserve">年 </w:t>
            </w:r>
            <w:r>
              <w:rPr>
                <w:rFonts w:hint="eastAsia" w:eastAsia="仿宋_GB2312"/>
                <w:sz w:val="24"/>
                <w:lang w:val="en-US" w:eastAsia="zh-CN"/>
              </w:rPr>
              <w:t>8</w:t>
            </w:r>
            <w:r>
              <w:rPr>
                <w:rFonts w:hint="eastAsia" w:eastAsia="仿宋_GB2312"/>
                <w:sz w:val="24"/>
              </w:rPr>
              <w:t>月起至</w:t>
            </w:r>
            <w:r>
              <w:rPr>
                <w:rFonts w:hint="eastAsia" w:eastAsia="仿宋_GB2312"/>
                <w:sz w:val="24"/>
                <w:lang w:val="en-US" w:eastAsia="zh-CN"/>
              </w:rPr>
              <w:t>2018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  <w:lang w:val="en-US" w:eastAsia="zh-CN"/>
              </w:rPr>
              <w:t>12</w:t>
            </w:r>
            <w:r>
              <w:rPr>
                <w:rFonts w:hint="eastAsia" w:eastAsia="仿宋_GB2312"/>
                <w:sz w:val="24"/>
              </w:rPr>
              <w:t>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计划安排资金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1.5亿</w:t>
            </w:r>
          </w:p>
        </w:tc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实际到位资金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100810086.1元</w:t>
            </w:r>
          </w:p>
        </w:tc>
        <w:tc>
          <w:tcPr>
            <w:tcW w:w="164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100810086.1元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结余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其中：中央财政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pacing w:val="-6"/>
                <w:sz w:val="24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24"/>
              </w:rPr>
              <w:t>其中：中央财政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pacing w:val="-6"/>
                <w:sz w:val="24"/>
              </w:rPr>
            </w:pPr>
          </w:p>
        </w:tc>
        <w:tc>
          <w:tcPr>
            <w:tcW w:w="164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pacing w:val="-6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96511</w:t>
            </w:r>
            <w:r>
              <w:rPr>
                <w:rFonts w:hint="eastAsia" w:eastAsia="仿宋_GB2312"/>
                <w:sz w:val="24"/>
                <w:lang w:val="en-US" w:eastAsia="zh-CN"/>
              </w:rPr>
              <w:t>00</w:t>
            </w:r>
            <w:r>
              <w:rPr>
                <w:rFonts w:hint="eastAsia" w:eastAsia="仿宋_GB2312"/>
                <w:sz w:val="24"/>
              </w:rPr>
              <w:t>元</w:t>
            </w:r>
          </w:p>
        </w:tc>
        <w:tc>
          <w:tcPr>
            <w:tcW w:w="164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96511</w:t>
            </w:r>
            <w:r>
              <w:rPr>
                <w:rFonts w:hint="eastAsia" w:eastAsia="仿宋_GB2312"/>
                <w:sz w:val="24"/>
                <w:lang w:val="en-US" w:eastAsia="zh-CN"/>
              </w:rPr>
              <w:t>00</w:t>
            </w:r>
            <w:r>
              <w:rPr>
                <w:rFonts w:hint="eastAsia" w:eastAsia="仿宋_GB2312"/>
                <w:sz w:val="24"/>
              </w:rPr>
              <w:t>元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64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区财政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1.5亿</w:t>
            </w:r>
          </w:p>
        </w:tc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区财政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91158986.1元</w:t>
            </w:r>
          </w:p>
        </w:tc>
        <w:tc>
          <w:tcPr>
            <w:tcW w:w="164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区财政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91158986.1元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区财政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64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二、项目支出明细情况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支出内容</w:t>
            </w: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实际支出数</w:t>
            </w: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会计凭证号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奖补资金拨付</w:t>
            </w: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100810086.1元</w:t>
            </w: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区财政拨付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打卡发放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sz w:val="24"/>
              </w:rPr>
              <w:t>支出合计</w:t>
            </w: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100810086.1元</w:t>
            </w: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三、项目绩效自评情况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项目绩效定性目标及实施计划完成情况</w:t>
            </w:r>
          </w:p>
        </w:tc>
        <w:tc>
          <w:tcPr>
            <w:tcW w:w="5073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预  期 目 标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147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  <w:tc>
          <w:tcPr>
            <w:tcW w:w="5073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hint="eastAsia" w:eastAsia="仿宋_GB2312"/>
                <w:b w:val="0"/>
                <w:bCs/>
                <w:sz w:val="24"/>
              </w:rPr>
            </w:pPr>
            <w:r>
              <w:rPr>
                <w:rFonts w:hint="eastAsia" w:eastAsia="仿宋_GB2312"/>
                <w:b w:val="0"/>
                <w:bCs/>
                <w:sz w:val="24"/>
              </w:rPr>
              <w:t>按照“禁养区无条件退养，限养区鼓励退养或实现达标排放养殖”的工作思路，分阶段全面完成全区生猪退养工作任务，全区生态环境得到全面改善。</w:t>
            </w:r>
          </w:p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 w:val="0"/>
                <w:bCs/>
                <w:sz w:val="24"/>
              </w:rPr>
              <w:t>调查摸底的1245户养殖户中，</w:t>
            </w:r>
            <w:r>
              <w:rPr>
                <w:rFonts w:hint="eastAsia" w:eastAsia="仿宋_GB2312"/>
                <w:b w:val="0"/>
                <w:bCs/>
                <w:sz w:val="24"/>
                <w:lang w:eastAsia="zh-CN"/>
              </w:rPr>
              <w:t>截止</w:t>
            </w:r>
            <w:r>
              <w:rPr>
                <w:rFonts w:hint="eastAsia" w:eastAsia="仿宋_GB2312"/>
                <w:b w:val="0"/>
                <w:bCs/>
                <w:sz w:val="24"/>
                <w:lang w:val="en-US" w:eastAsia="zh-CN"/>
              </w:rPr>
              <w:t>2018年12月，</w:t>
            </w:r>
            <w:r>
              <w:rPr>
                <w:rFonts w:hint="eastAsia" w:eastAsia="仿宋_GB2312"/>
                <w:b w:val="0"/>
                <w:bCs/>
                <w:sz w:val="24"/>
              </w:rPr>
              <w:t>完成签约1243户，占任务比99.8%；共完成拆除1222户，占任务比98.2%。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1473" w:type="dxa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项目绩效定量目标（指标）及完成情况</w:t>
            </w:r>
          </w:p>
        </w:tc>
        <w:tc>
          <w:tcPr>
            <w:tcW w:w="909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一级指标</w:t>
            </w: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二级指标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指标内容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指标（目标）值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项目产出指标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数量指标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default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完成全区生猪养殖1245户摸底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1245户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质量指标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eastAsia="仿宋_GB2312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sz w:val="18"/>
                <w:szCs w:val="18"/>
              </w:rPr>
              <w:t>共完成拆除</w:t>
            </w: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1222</w:t>
            </w:r>
            <w:r>
              <w:rPr>
                <w:rFonts w:hint="eastAsia" w:eastAsia="仿宋_GB2312"/>
                <w:sz w:val="18"/>
                <w:szCs w:val="18"/>
                <w:lang w:eastAsia="zh-CN"/>
              </w:rPr>
              <w:t>户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1245户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98.2%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时效指标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default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sz w:val="18"/>
                <w:szCs w:val="18"/>
                <w:lang w:eastAsia="zh-CN"/>
              </w:rPr>
              <w:t>预计完成时间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2018.12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98.2%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成本指标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default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sz w:val="18"/>
                <w:szCs w:val="18"/>
                <w:lang w:eastAsia="zh-CN"/>
              </w:rPr>
              <w:t>财政投入资金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1.1亿元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项目效益指标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经济效益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eastAsia="仿宋_GB2312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sz w:val="18"/>
                <w:szCs w:val="18"/>
                <w:lang w:eastAsia="zh-CN"/>
              </w:rPr>
              <w:t>有效控制猪瘟全面爆发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100%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社会效益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default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sz w:val="18"/>
                <w:szCs w:val="18"/>
                <w:lang w:eastAsia="zh-CN"/>
              </w:rPr>
              <w:t>全区群众对生猪退养大力支持，有效控制猪瘟全面爆发，生态环境得到全面改善。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　100%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生态效益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eastAsia="仿宋_GB2312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sz w:val="18"/>
                <w:szCs w:val="18"/>
                <w:lang w:eastAsia="zh-CN"/>
              </w:rPr>
              <w:t>全区生态环境得到全面改善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100%　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服务对象满意度指标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养殖户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1245</w:t>
            </w:r>
            <w:bookmarkStart w:id="1" w:name="_GoBack"/>
            <w:bookmarkEnd w:id="1"/>
            <w:r>
              <w:rPr>
                <w:rFonts w:hint="eastAsia" w:eastAsia="仿宋_GB2312"/>
                <w:sz w:val="24"/>
                <w:lang w:val="en-US" w:eastAsia="zh-CN"/>
              </w:rPr>
              <w:t>户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99.8%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绩效自评综合得分</w:t>
            </w:r>
          </w:p>
        </w:tc>
        <w:tc>
          <w:tcPr>
            <w:tcW w:w="720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99.5分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评价等次</w:t>
            </w:r>
          </w:p>
        </w:tc>
        <w:tc>
          <w:tcPr>
            <w:tcW w:w="720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582" w:type="dxa"/>
            <w:gridSpan w:val="14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四、评价人员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2332" w:type="dxa"/>
            <w:gridSpan w:val="4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职称/职务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  位</w:t>
            </w:r>
          </w:p>
        </w:tc>
        <w:tc>
          <w:tcPr>
            <w:tcW w:w="3036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卢文祥</w:t>
            </w:r>
          </w:p>
        </w:tc>
        <w:tc>
          <w:tcPr>
            <w:tcW w:w="2332" w:type="dxa"/>
            <w:gridSpan w:val="4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副局长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农业农村局</w:t>
            </w:r>
          </w:p>
        </w:tc>
        <w:tc>
          <w:tcPr>
            <w:tcW w:w="3036" w:type="dxa"/>
            <w:gridSpan w:val="3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罗嗣华</w:t>
            </w:r>
          </w:p>
        </w:tc>
        <w:tc>
          <w:tcPr>
            <w:tcW w:w="2332" w:type="dxa"/>
            <w:gridSpan w:val="4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办公室主任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畜牧水产局</w:t>
            </w:r>
          </w:p>
        </w:tc>
        <w:tc>
          <w:tcPr>
            <w:tcW w:w="3036" w:type="dxa"/>
            <w:gridSpan w:val="3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宋鸽</w:t>
            </w:r>
          </w:p>
        </w:tc>
        <w:tc>
          <w:tcPr>
            <w:tcW w:w="2332" w:type="dxa"/>
            <w:gridSpan w:val="4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科技股长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畜牧水产局</w:t>
            </w:r>
          </w:p>
        </w:tc>
        <w:tc>
          <w:tcPr>
            <w:tcW w:w="3036" w:type="dxa"/>
            <w:gridSpan w:val="3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9582" w:type="dxa"/>
            <w:gridSpan w:val="14"/>
            <w:vAlign w:val="center"/>
          </w:tcPr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评价组组长（签字）：         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项目单位意见：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项目单位负责人（签章）：</w:t>
            </w:r>
          </w:p>
          <w:p>
            <w:pPr>
              <w:spacing w:line="440" w:lineRule="exact"/>
              <w:rPr>
                <w:rFonts w:hint="eastAsia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9582" w:type="dxa"/>
            <w:gridSpan w:val="14"/>
            <w:vAlign w:val="top"/>
          </w:tcPr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主管部门意见：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主管部门负责人（签章）：</w:t>
            </w:r>
          </w:p>
          <w:p>
            <w:pPr>
              <w:spacing w:line="440" w:lineRule="exact"/>
              <w:rPr>
                <w:rFonts w:hint="eastAsia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财政部门归口业务股室意见：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财政部门归口业务股室负责人（签章）：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</w:tbl>
    <w:p>
      <w:pPr>
        <w:rPr>
          <w:rFonts w:hint="default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eastAsia="仿宋_GB2312" w:cs="仿宋_GB2312"/>
          <w:bCs/>
          <w:sz w:val="28"/>
          <w:szCs w:val="28"/>
        </w:rPr>
        <w:t>填报人（签名）：</w:t>
      </w:r>
      <w:r>
        <w:rPr>
          <w:rFonts w:hint="eastAsia" w:eastAsia="仿宋_GB2312" w:cs="仿宋_GB2312"/>
          <w:bCs/>
          <w:sz w:val="28"/>
          <w:szCs w:val="28"/>
          <w:lang w:eastAsia="zh-CN"/>
        </w:rPr>
        <w:t>宋鸽</w:t>
      </w:r>
      <w:r>
        <w:rPr>
          <w:rFonts w:hint="eastAsia" w:eastAsia="仿宋_GB2312" w:cs="仿宋_GB2312"/>
          <w:bCs/>
          <w:sz w:val="28"/>
          <w:szCs w:val="28"/>
        </w:rPr>
        <w:t xml:space="preserve">              </w:t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 xml:space="preserve">   </w:t>
      </w:r>
      <w:r>
        <w:rPr>
          <w:rFonts w:hint="eastAsia" w:eastAsia="仿宋_GB2312" w:cs="仿宋_GB2312"/>
          <w:bCs/>
          <w:sz w:val="28"/>
          <w:szCs w:val="28"/>
        </w:rPr>
        <w:t>联系电话：</w:t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>13786000144</w:t>
      </w:r>
    </w:p>
    <w:tbl>
      <w:tblPr>
        <w:tblStyle w:val="2"/>
        <w:tblW w:w="93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  <w:jc w:val="center"/>
        </w:trPr>
        <w:tc>
          <w:tcPr>
            <w:tcW w:w="9369" w:type="dxa"/>
            <w:vAlign w:val="top"/>
          </w:tcPr>
          <w:p>
            <w:pPr>
              <w:jc w:val="center"/>
              <w:rPr>
                <w:rFonts w:hint="eastAsia" w:eastAsia="仿宋_GB2312"/>
                <w:b/>
                <w:bCs/>
                <w:sz w:val="44"/>
                <w:szCs w:val="44"/>
              </w:rPr>
            </w:pPr>
            <w:r>
              <w:rPr>
                <w:rFonts w:hint="eastAsia" w:eastAsia="仿宋_GB2312"/>
                <w:b/>
                <w:bCs/>
                <w:sz w:val="44"/>
                <w:szCs w:val="44"/>
              </w:rPr>
              <w:t>评价报告综述</w:t>
            </w:r>
          </w:p>
          <w:p>
            <w:pPr>
              <w:spacing w:line="440" w:lineRule="exact"/>
              <w:ind w:firstLine="640" w:firstLineChars="200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numPr>
                <w:ilvl w:val="0"/>
                <w:numId w:val="1"/>
              </w:numPr>
              <w:spacing w:line="560" w:lineRule="exact"/>
              <w:ind w:firstLine="602" w:firstLineChars="200"/>
              <w:rPr>
                <w:rFonts w:hint="eastAsia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eastAsia="仿宋_GB2312"/>
                <w:b/>
                <w:bCs/>
                <w:sz w:val="30"/>
                <w:szCs w:val="30"/>
              </w:rPr>
              <w:t>项目基本概况</w:t>
            </w:r>
          </w:p>
          <w:p>
            <w:pPr>
              <w:spacing w:line="560" w:lineRule="exact"/>
              <w:ind w:firstLine="640" w:firstLineChars="20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年来，云溪区紧紧围绕市委“一三五”基本思路，大力践行“一线工作法”，将工作重点适度调整到产业项目建设和生态环境治理上来，以生猪退养工作为“重头戏”，众志成城、合力攻坚，掀起了一场声势浩大的生猪退养行动。</w:t>
            </w:r>
          </w:p>
          <w:p>
            <w:pPr>
              <w:numPr>
                <w:ilvl w:val="0"/>
                <w:numId w:val="1"/>
              </w:numPr>
              <w:spacing w:line="560" w:lineRule="exact"/>
              <w:ind w:left="0" w:leftChars="0" w:firstLine="602" w:firstLineChars="200"/>
              <w:rPr>
                <w:rFonts w:hint="eastAsia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eastAsia="仿宋_GB2312"/>
                <w:b/>
                <w:bCs/>
                <w:sz w:val="30"/>
                <w:szCs w:val="30"/>
              </w:rPr>
              <w:t>项目资金使用及管理情况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firstLine="640" w:firstLineChars="200"/>
              <w:rPr>
                <w:rFonts w:hint="eastAsia" w:eastAsia="仿宋_GB2312"/>
                <w:sz w:val="30"/>
                <w:szCs w:val="30"/>
                <w:lang w:eastAsia="zh-CN"/>
              </w:rPr>
            </w:pPr>
            <w:bookmarkStart w:id="0" w:name="_Hlk520891765"/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生猪退养工作</w:t>
            </w:r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是一项工程浩大、投入巨大的公益事业，据初步测算，云溪区要完成全部生猪退养任务，大约需要资金</w:t>
            </w:r>
            <w: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  <w:t>1.4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亿元，而云溪区财政并不宽裕，钱从哪里来？区委区政府没有犹豫、没有等待，采取三个三分之一多元投入、破解难题，即向上争取项目资金筹措三分之一；利用退养场地复耕复绿申报国土增减挂钩争取三分之一；依法退养行政处罚司法打击处理解决三分之一。目前，已由区财政代投生猪退养奖补资金11</w:t>
            </w:r>
            <w: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  <w:t>000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余万元。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所有资金均由财政直付。</w:t>
            </w:r>
          </w:p>
          <w:p>
            <w:pPr>
              <w:numPr>
                <w:ilvl w:val="0"/>
                <w:numId w:val="1"/>
              </w:numPr>
              <w:spacing w:line="560" w:lineRule="exact"/>
              <w:ind w:left="0" w:leftChars="0" w:firstLine="602" w:firstLineChars="200"/>
              <w:rPr>
                <w:rFonts w:hint="eastAsia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eastAsia="仿宋_GB2312"/>
                <w:b/>
                <w:bCs/>
                <w:sz w:val="30"/>
                <w:szCs w:val="30"/>
              </w:rPr>
              <w:t>项目组织实施情况</w:t>
            </w:r>
          </w:p>
          <w:p>
            <w:pPr>
              <w:spacing w:line="560" w:lineRule="exact"/>
              <w:ind w:firstLine="648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成立了云溪区生猪退养工作领导小组，由区委副书记任组长，区政府分管副区长任常务副组长，区级河（湖）长、各镇（街道）联点区级领导任副组长，区畜牧、环保、规划、国土、控违、财政、农业、水利、林业、人社、公安、检察、法院等单位和各镇（街道）党（工）委书记为成员，下设办公室，在区畜牧水产局集中办公。各镇（街道）也相应成立由党（工）委书记任组长、分管副职任副组长、其余班子成员、农业站长、村支部书记为成员的生猪退养工作领导小组及专门工作班子。召开了云溪区生态环境治理暨生猪退养工作千人动员大会，制定下发了《云溪区生猪退养工作实施方案》，明确了路线图、时间表、任务书，统一领导、统一投入、统一标准、统一考核，形成了全面动员、整区推进的生动局面。</w:t>
            </w:r>
          </w:p>
          <w:p>
            <w:pPr>
              <w:numPr>
                <w:ilvl w:val="0"/>
                <w:numId w:val="1"/>
              </w:numPr>
              <w:spacing w:line="560" w:lineRule="exact"/>
              <w:ind w:left="0" w:leftChars="0" w:firstLine="602" w:firstLineChars="200"/>
              <w:rPr>
                <w:rFonts w:hint="eastAsia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eastAsia="仿宋_GB2312"/>
                <w:b/>
                <w:bCs/>
                <w:sz w:val="30"/>
                <w:szCs w:val="30"/>
              </w:rPr>
              <w:t>综合评价情况及评价结论</w:t>
            </w:r>
          </w:p>
          <w:p>
            <w:pPr>
              <w:spacing w:line="560" w:lineRule="exact"/>
              <w:ind w:firstLine="645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生猪退养工作的主体是群众，关键在干部。在生猪退养攻坚行动中，云溪区各级各部门有着清醒的大局观和较强的执行力，广大党员干部有着强烈的责任感和务实的好作风，有效教育了群众、引导了群众、发动了群众，形成了上下同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32"/>
                <w:szCs w:val="32"/>
              </w:rPr>
              <w:t>心、众志成城的强大合力，凝聚了攻坚之力，壮大了攻坚之势。</w:t>
            </w:r>
          </w:p>
          <w:p>
            <w:pPr>
              <w:numPr>
                <w:ilvl w:val="0"/>
                <w:numId w:val="1"/>
              </w:numPr>
              <w:spacing w:line="560" w:lineRule="exact"/>
              <w:ind w:left="0" w:leftChars="0" w:firstLine="602" w:firstLineChars="200"/>
              <w:rPr>
                <w:rFonts w:hint="eastAsia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eastAsia="仿宋_GB2312"/>
                <w:b/>
                <w:bCs/>
                <w:sz w:val="30"/>
                <w:szCs w:val="30"/>
              </w:rPr>
              <w:t>项目主要绩效情况分析</w:t>
            </w:r>
          </w:p>
          <w:p>
            <w:pPr>
              <w:widowControl w:val="0"/>
              <w:numPr>
                <w:ilvl w:val="0"/>
                <w:numId w:val="0"/>
              </w:numPr>
              <w:spacing w:line="560" w:lineRule="exact"/>
              <w:ind w:firstLine="640" w:firstLineChars="200"/>
              <w:jc w:val="both"/>
              <w:rPr>
                <w:rFonts w:hint="eastAsia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全区共调查摸底的</w:t>
            </w:r>
            <w: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  <w:t>1245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户养殖户中，完成签约</w:t>
            </w:r>
            <w: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43户，占任务比</w:t>
            </w:r>
            <w: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  <w:t>99.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8</w:t>
            </w:r>
            <w: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  <w:t>%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；共完成拆除</w:t>
            </w:r>
            <w: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222户，占任务比</w:t>
            </w:r>
            <w: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8</w:t>
            </w:r>
            <w: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</w:t>
            </w:r>
            <w: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  <w:t>%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。拨付退养奖补资金17批次、914户、面积368139.1153万平方米、100810086.1万元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。</w:t>
            </w:r>
          </w:p>
          <w:p>
            <w:pPr>
              <w:spacing w:line="560" w:lineRule="exact"/>
              <w:ind w:firstLine="602" w:firstLineChars="200"/>
              <w:rPr>
                <w:rFonts w:hint="eastAsia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eastAsia="仿宋_GB2312"/>
                <w:b/>
                <w:bCs/>
                <w:sz w:val="30"/>
                <w:szCs w:val="30"/>
              </w:rPr>
              <w:t>（六）主要经验及做法、存在问题和建议</w:t>
            </w:r>
          </w:p>
          <w:p>
            <w:pPr>
              <w:spacing w:line="560" w:lineRule="exact"/>
              <w:ind w:left="-178" w:leftChars="-85" w:right="-153" w:rightChars="-73" w:firstLine="640" w:firstLineChars="200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一是加强资料归档，按照要求建档立卡。二是加强执法，组建2个执法组，一个是畜牧、规划、环保、公安、控违、国土等单位派人成立的行政执法组，一个是由检察院牵头的公益诉讼组，对未拆除养殖场严格执法，给群众一个公信。三是加强资金调度，快速完成结算。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rPr>
                <w:rFonts w:eastAsia="楷体_GB2312"/>
                <w:bCs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218DAC"/>
    <w:multiLevelType w:val="singleLevel"/>
    <w:tmpl w:val="BC218DA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8E5C10"/>
    <w:rsid w:val="1A43719B"/>
    <w:rsid w:val="26285078"/>
    <w:rsid w:val="3B407203"/>
    <w:rsid w:val="644541EC"/>
    <w:rsid w:val="75A6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Dove1419051705</cp:lastModifiedBy>
  <cp:lastPrinted>2019-09-09T03:01:00Z</cp:lastPrinted>
  <dcterms:modified xsi:type="dcterms:W3CDTF">2019-09-09T03:32:29Z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